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90" w:lineRule="atLeast"/>
        <w:ind w:firstLine="300"/>
        <w:jc w:val="center"/>
        <w:rPr>
          <w:rFonts w:ascii="仿宋_GB2312" w:hAnsi="仿宋_GB2312" w:eastAsia="仿宋_GB2312" w:cs="仿宋_GB2312"/>
          <w:b/>
          <w:bCs/>
          <w:color w:val="000000"/>
          <w:kern w:val="0"/>
          <w:sz w:val="44"/>
          <w:szCs w:val="44"/>
          <w:shd w:val="clear" w:color="auto" w:fill="FFFFFF"/>
        </w:rPr>
      </w:pPr>
      <w:r>
        <w:rPr>
          <w:rFonts w:hint="eastAsia" w:ascii="仿宋_GB2312" w:hAnsi="仿宋_GB2312" w:eastAsia="仿宋_GB2312" w:cs="仿宋_GB2312"/>
          <w:b/>
          <w:bCs/>
          <w:color w:val="000000"/>
          <w:kern w:val="0"/>
          <w:sz w:val="44"/>
          <w:szCs w:val="44"/>
          <w:shd w:val="clear" w:color="auto" w:fill="FFFFFF"/>
        </w:rPr>
        <w:t>民权县纪委监委2020年预算公开</w:t>
      </w:r>
    </w:p>
    <w:p>
      <w:pPr>
        <w:widowControl/>
        <w:shd w:val="clear" w:color="auto" w:fill="FFFFFF"/>
        <w:spacing w:line="390" w:lineRule="atLeast"/>
        <w:ind w:firstLine="300"/>
        <w:jc w:val="center"/>
        <w:rPr>
          <w:rFonts w:ascii="仿宋_GB2312" w:hAnsi="仿宋_GB2312" w:eastAsia="仿宋_GB2312" w:cs="仿宋_GB2312"/>
          <w:b/>
          <w:bCs/>
          <w:color w:val="000000"/>
          <w:kern w:val="0"/>
          <w:sz w:val="44"/>
          <w:szCs w:val="44"/>
          <w:shd w:val="clear" w:color="auto" w:fill="FFFFFF"/>
        </w:rPr>
      </w:pPr>
      <w:r>
        <w:rPr>
          <w:rFonts w:hint="eastAsia" w:ascii="仿宋_GB2312" w:hAnsi="仿宋_GB2312" w:eastAsia="仿宋_GB2312" w:cs="仿宋_GB2312"/>
          <w:b/>
          <w:bCs/>
          <w:color w:val="000000"/>
          <w:kern w:val="0"/>
          <w:sz w:val="44"/>
          <w:szCs w:val="44"/>
          <w:shd w:val="clear" w:color="auto" w:fill="FFFFFF"/>
        </w:rPr>
        <w:t>情况说明</w:t>
      </w:r>
    </w:p>
    <w:p>
      <w:pPr>
        <w:widowControl/>
        <w:shd w:val="clear" w:color="auto" w:fill="FFFFFF"/>
        <w:spacing w:line="390" w:lineRule="atLeast"/>
        <w:ind w:firstLine="300"/>
        <w:jc w:val="center"/>
        <w:rPr>
          <w:rFonts w:ascii="仿宋" w:hAnsi="仿宋" w:eastAsia="仿宋" w:cs="宋体"/>
          <w:b/>
          <w:color w:val="000000"/>
          <w:kern w:val="0"/>
          <w:sz w:val="32"/>
          <w:szCs w:val="32"/>
          <w:shd w:val="clear" w:color="auto" w:fill="FFFFFF"/>
        </w:rPr>
      </w:pPr>
    </w:p>
    <w:p>
      <w:pPr>
        <w:widowControl/>
        <w:shd w:val="clear" w:color="auto" w:fill="FFFFFF"/>
        <w:spacing w:line="390" w:lineRule="atLeast"/>
        <w:ind w:firstLine="300"/>
        <w:jc w:val="center"/>
        <w:rPr>
          <w:rFonts w:ascii="宋体" w:hAnsi="宋体" w:cs="Arial"/>
          <w:sz w:val="44"/>
          <w:szCs w:val="44"/>
        </w:rPr>
      </w:pPr>
      <w:r>
        <w:rPr>
          <w:rFonts w:hint="eastAsia" w:ascii="仿宋" w:hAnsi="仿宋" w:eastAsia="仿宋" w:cs="微软雅黑"/>
          <w:color w:val="000000"/>
          <w:sz w:val="32"/>
          <w:szCs w:val="32"/>
        </w:rPr>
        <w:t>　</w:t>
      </w:r>
      <w:r>
        <w:rPr>
          <w:rFonts w:hint="eastAsia" w:ascii="文星楷体" w:hAnsi="文星楷体" w:eastAsia="文星楷体" w:cs="文星楷体"/>
          <w:sz w:val="44"/>
          <w:szCs w:val="44"/>
        </w:rPr>
        <w:t>目  录</w:t>
      </w:r>
    </w:p>
    <w:p>
      <w:pPr>
        <w:widowControl/>
        <w:shd w:val="clear" w:color="auto" w:fill="FFFFFF"/>
        <w:spacing w:line="390" w:lineRule="atLeas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一、部门主要职能</w:t>
      </w:r>
    </w:p>
    <w:p>
      <w:pPr>
        <w:widowControl/>
        <w:shd w:val="clear" w:color="auto" w:fill="FFFFFF"/>
        <w:spacing w:line="390" w:lineRule="atLeas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二、部门预算单位机构设置情况</w:t>
      </w:r>
    </w:p>
    <w:p>
      <w:pPr>
        <w:widowControl/>
        <w:shd w:val="clear" w:color="auto" w:fill="FFFFFF"/>
        <w:spacing w:line="390" w:lineRule="atLeas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三、部门预算收支情况说明</w:t>
      </w:r>
    </w:p>
    <w:p>
      <w:pPr>
        <w:widowControl/>
        <w:shd w:val="clear" w:color="auto" w:fill="FFFFFF"/>
        <w:spacing w:line="390" w:lineRule="atLeas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四、名词解释</w:t>
      </w:r>
    </w:p>
    <w:p>
      <w:pPr>
        <w:widowControl/>
        <w:shd w:val="clear" w:color="auto" w:fill="FFFFFF"/>
        <w:spacing w:line="390" w:lineRule="atLeas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附件：2020年度部门预算公开表</w:t>
      </w:r>
    </w:p>
    <w:p>
      <w:pPr>
        <w:widowControl/>
        <w:shd w:val="clear" w:color="auto" w:fill="FFFFFF"/>
        <w:spacing w:line="390" w:lineRule="atLeast"/>
        <w:ind w:firstLine="1440" w:firstLineChars="45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1、部门收支总表</w:t>
      </w:r>
    </w:p>
    <w:p>
      <w:pPr>
        <w:widowControl/>
        <w:shd w:val="clear" w:color="auto" w:fill="FFFFFF"/>
        <w:spacing w:line="390" w:lineRule="atLeas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2、部门收入总表</w:t>
      </w:r>
    </w:p>
    <w:p>
      <w:pPr>
        <w:widowControl/>
        <w:shd w:val="clear" w:color="auto" w:fill="FFFFFF"/>
        <w:spacing w:line="390" w:lineRule="atLeas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3、部门支出总表</w:t>
      </w:r>
    </w:p>
    <w:p>
      <w:pPr>
        <w:widowControl/>
        <w:shd w:val="clear" w:color="auto" w:fill="FFFFFF"/>
        <w:spacing w:line="390" w:lineRule="atLeas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4、财政拨款收支总表</w:t>
      </w:r>
    </w:p>
    <w:p>
      <w:pPr>
        <w:widowControl/>
        <w:shd w:val="clear" w:color="auto" w:fill="FFFFFF"/>
        <w:spacing w:line="390" w:lineRule="atLeas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5、一般公共预算支出情况表</w:t>
      </w:r>
    </w:p>
    <w:p>
      <w:pPr>
        <w:widowControl/>
        <w:shd w:val="clear" w:color="auto" w:fill="FFFFFF"/>
        <w:spacing w:line="390" w:lineRule="atLeas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6、一般公共预算基本支出情况表</w:t>
      </w:r>
    </w:p>
    <w:p>
      <w:pPr>
        <w:widowControl/>
        <w:shd w:val="clear" w:color="auto" w:fill="FFFFFF"/>
        <w:spacing w:line="390" w:lineRule="atLeast"/>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　　     7、政府性基金预算支出情况表</w:t>
      </w:r>
    </w:p>
    <w:p>
      <w:pPr>
        <w:widowControl/>
        <w:shd w:val="clear" w:color="auto" w:fill="FFFFFF"/>
        <w:spacing w:line="390" w:lineRule="atLeast"/>
        <w:jc w:val="left"/>
        <w:rPr>
          <w:rFonts w:ascii="仿宋" w:hAnsi="仿宋" w:eastAsia="仿宋" w:cs="Arial"/>
          <w:sz w:val="32"/>
          <w:szCs w:val="32"/>
        </w:rPr>
      </w:pPr>
      <w:r>
        <w:rPr>
          <w:rFonts w:hint="eastAsia" w:ascii="仿宋_GB2312" w:hAnsi="仿宋_GB2312" w:eastAsia="仿宋_GB2312" w:cs="仿宋_GB2312"/>
          <w:sz w:val="32"/>
          <w:szCs w:val="32"/>
        </w:rPr>
        <w:t>　　     8、一般公共预算“三公”经费支出情况表</w:t>
      </w:r>
    </w:p>
    <w:p>
      <w:pPr>
        <w:widowControl/>
        <w:shd w:val="clear" w:color="auto" w:fill="FFFFFF"/>
        <w:spacing w:line="390" w:lineRule="atLeast"/>
        <w:jc w:val="left"/>
        <w:rPr>
          <w:rFonts w:ascii="仿宋" w:hAnsi="仿宋" w:eastAsia="仿宋" w:cs="Arial"/>
          <w:sz w:val="32"/>
          <w:szCs w:val="32"/>
        </w:rPr>
      </w:pPr>
    </w:p>
    <w:p>
      <w:pPr>
        <w:widowControl/>
        <w:shd w:val="clear" w:color="auto" w:fill="FFFFFF"/>
        <w:spacing w:line="390" w:lineRule="atLeast"/>
        <w:ind w:firstLine="300"/>
        <w:jc w:val="left"/>
        <w:rPr>
          <w:rFonts w:ascii="仿宋" w:hAnsi="仿宋" w:eastAsia="仿宋" w:cs="Arial"/>
          <w:sz w:val="32"/>
          <w:szCs w:val="32"/>
        </w:rPr>
      </w:pPr>
    </w:p>
    <w:p>
      <w:pPr>
        <w:widowControl/>
        <w:shd w:val="clear" w:color="auto" w:fill="FFFFFF"/>
        <w:spacing w:line="390" w:lineRule="atLeast"/>
        <w:ind w:firstLine="300"/>
        <w:jc w:val="left"/>
        <w:rPr>
          <w:rFonts w:ascii="仿宋" w:hAnsi="仿宋" w:eastAsia="仿宋" w:cs="Arial"/>
          <w:sz w:val="32"/>
          <w:szCs w:val="32"/>
        </w:rPr>
      </w:pPr>
    </w:p>
    <w:p>
      <w:pPr>
        <w:widowControl/>
        <w:shd w:val="clear" w:color="auto" w:fill="FFFFFF"/>
        <w:spacing w:line="390" w:lineRule="atLeast"/>
        <w:ind w:firstLine="300"/>
        <w:jc w:val="left"/>
        <w:rPr>
          <w:rFonts w:ascii="仿宋" w:hAnsi="仿宋" w:eastAsia="仿宋" w:cs="Arial"/>
          <w:sz w:val="32"/>
          <w:szCs w:val="32"/>
        </w:rPr>
      </w:pPr>
    </w:p>
    <w:p>
      <w:pPr>
        <w:widowControl/>
        <w:shd w:val="clear" w:color="auto" w:fill="FFFFFF"/>
        <w:spacing w:line="390" w:lineRule="atLeast"/>
        <w:ind w:firstLine="300"/>
        <w:jc w:val="left"/>
        <w:rPr>
          <w:rFonts w:ascii="仿宋" w:hAnsi="仿宋" w:eastAsia="仿宋" w:cs="Arial"/>
          <w:sz w:val="32"/>
          <w:szCs w:val="32"/>
        </w:rPr>
      </w:pPr>
    </w:p>
    <w:p>
      <w:pPr>
        <w:widowControl/>
        <w:shd w:val="clear" w:color="auto" w:fill="FFFFFF"/>
        <w:spacing w:line="390" w:lineRule="atLeast"/>
        <w:ind w:firstLine="645"/>
        <w:rPr>
          <w:rFonts w:ascii="黑体" w:hAnsi="黑体" w:eastAsia="黑体" w:cs="黑体"/>
          <w:sz w:val="32"/>
          <w:szCs w:val="32"/>
        </w:rPr>
      </w:pPr>
      <w:r>
        <w:rPr>
          <w:rFonts w:hint="eastAsia" w:ascii="黑体" w:hAnsi="黑体" w:eastAsia="黑体" w:cs="黑体"/>
          <w:sz w:val="32"/>
          <w:szCs w:val="32"/>
        </w:rPr>
        <w:t>一、部门主要职责</w:t>
      </w:r>
    </w:p>
    <w:p>
      <w:pPr>
        <w:widowControl/>
        <w:shd w:val="clear" w:color="auto" w:fill="FFFFFF"/>
        <w:spacing w:line="390" w:lineRule="atLeast"/>
        <w:ind w:firstLine="645"/>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此项内容涉密，按规定不予公开。</w:t>
      </w:r>
    </w:p>
    <w:p>
      <w:pPr>
        <w:widowControl/>
        <w:shd w:val="clear" w:color="auto" w:fill="FFFFFF"/>
        <w:spacing w:line="390" w:lineRule="atLeast"/>
        <w:ind w:firstLine="645"/>
        <w:jc w:val="left"/>
        <w:rPr>
          <w:rFonts w:ascii="黑体" w:hAnsi="黑体" w:eastAsia="黑体" w:cs="黑体"/>
          <w:bCs/>
          <w:color w:val="000000"/>
          <w:kern w:val="0"/>
          <w:sz w:val="32"/>
          <w:szCs w:val="32"/>
          <w:shd w:val="clear" w:color="auto" w:fill="FFFFFF"/>
        </w:rPr>
      </w:pPr>
      <w:r>
        <w:rPr>
          <w:rFonts w:hint="eastAsia" w:ascii="黑体" w:hAnsi="黑体" w:eastAsia="黑体" w:cs="黑体"/>
          <w:bCs/>
          <w:color w:val="000000"/>
          <w:kern w:val="0"/>
          <w:sz w:val="32"/>
          <w:szCs w:val="32"/>
          <w:shd w:val="clear" w:color="auto" w:fill="FFFFFF"/>
        </w:rPr>
        <w:t>二、部门预算单位机构设置情况</w:t>
      </w:r>
    </w:p>
    <w:p>
      <w:pPr>
        <w:widowControl/>
        <w:shd w:val="clear" w:color="auto" w:fill="FFFFFF"/>
        <w:spacing w:line="390" w:lineRule="atLeast"/>
        <w:ind w:firstLine="645"/>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此项内容涉密，按规定不予公开。</w:t>
      </w:r>
    </w:p>
    <w:p>
      <w:pPr>
        <w:widowControl/>
        <w:shd w:val="clear" w:color="auto" w:fill="FFFFFF"/>
        <w:spacing w:line="390" w:lineRule="atLeast"/>
        <w:ind w:firstLine="640" w:firstLineChars="200"/>
        <w:jc w:val="left"/>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sz w:val="32"/>
          <w:szCs w:val="32"/>
        </w:rPr>
        <w:t>我单位2020年预算公开内容包括本级和所属部门、二级机构预算在内的汇总预算。</w:t>
      </w:r>
      <w:bookmarkStart w:id="0" w:name="_GoBack"/>
      <w:bookmarkEnd w:id="0"/>
    </w:p>
    <w:p>
      <w:pPr>
        <w:widowControl/>
        <w:shd w:val="clear" w:color="auto" w:fill="FFFFFF"/>
        <w:spacing w:line="390" w:lineRule="atLeast"/>
        <w:ind w:firstLine="645"/>
        <w:jc w:val="left"/>
        <w:rPr>
          <w:rFonts w:ascii="黑体" w:hAnsi="黑体" w:eastAsia="黑体" w:cs="微软雅黑"/>
          <w:bCs/>
          <w:color w:val="000000"/>
          <w:sz w:val="32"/>
          <w:szCs w:val="32"/>
        </w:rPr>
      </w:pPr>
      <w:r>
        <w:rPr>
          <w:rFonts w:hint="eastAsia" w:ascii="黑体" w:hAnsi="黑体" w:eastAsia="黑体" w:cs="黑体"/>
          <w:bCs/>
          <w:color w:val="000000"/>
          <w:kern w:val="0"/>
          <w:sz w:val="32"/>
          <w:szCs w:val="32"/>
          <w:shd w:val="clear" w:color="auto" w:fill="FFFFFF"/>
        </w:rPr>
        <w:t>三、部门预算收支情况说明</w:t>
      </w:r>
    </w:p>
    <w:p>
      <w:pPr>
        <w:widowControl/>
        <w:shd w:val="clear" w:color="auto" w:fill="FFFFFF"/>
        <w:spacing w:line="390" w:lineRule="atLeast"/>
        <w:ind w:firstLine="645"/>
        <w:jc w:val="left"/>
        <w:rPr>
          <w:rFonts w:ascii="仿宋" w:hAnsi="仿宋" w:eastAsia="仿宋" w:cs="微软雅黑"/>
          <w:b/>
          <w:bCs/>
          <w:color w:val="000000"/>
          <w:sz w:val="32"/>
          <w:szCs w:val="32"/>
        </w:rPr>
      </w:pPr>
      <w:r>
        <w:rPr>
          <w:rFonts w:hint="eastAsia" w:ascii="仿宋" w:hAnsi="仿宋" w:eastAsia="仿宋" w:cs="仿宋_GB2312"/>
          <w:b/>
          <w:bCs/>
          <w:color w:val="000000"/>
          <w:kern w:val="0"/>
          <w:sz w:val="32"/>
          <w:szCs w:val="32"/>
          <w:shd w:val="clear" w:color="auto" w:fill="FFFFFF"/>
        </w:rPr>
        <w:t>1、2020年预算收入、支出比2019年增减情况</w:t>
      </w:r>
    </w:p>
    <w:p>
      <w:pPr>
        <w:widowControl/>
        <w:shd w:val="clear" w:color="auto" w:fill="FFFFFF"/>
        <w:spacing w:line="390" w:lineRule="atLeas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2020年收入1578.39万元，2019年收入 1397.16万元。与2019年相比增加181.23万元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增加的原因主要是职能划转，人员增加。2020年支出1578.39万元，2019年支出1397.16万元</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与2019年相比单位支出总体增加181.23万元。增加的原因主要是职能划转，人员增加。</w:t>
      </w:r>
    </w:p>
    <w:p>
      <w:pPr>
        <w:widowControl/>
        <w:shd w:val="clear" w:color="auto" w:fill="FFFFFF"/>
        <w:spacing w:line="390" w:lineRule="atLeast"/>
        <w:ind w:firstLine="645"/>
        <w:jc w:val="left"/>
        <w:rPr>
          <w:rFonts w:ascii="仿宋" w:hAnsi="仿宋" w:eastAsia="仿宋" w:cs="仿宋_GB2312"/>
          <w:b/>
          <w:bCs/>
          <w:color w:val="000000"/>
          <w:kern w:val="0"/>
          <w:sz w:val="32"/>
          <w:szCs w:val="32"/>
          <w:shd w:val="clear" w:color="auto" w:fill="FFFFFF"/>
        </w:rPr>
      </w:pPr>
      <w:r>
        <w:rPr>
          <w:rFonts w:hint="eastAsia" w:ascii="仿宋" w:hAnsi="仿宋" w:eastAsia="仿宋" w:cs="仿宋_GB2312"/>
          <w:b/>
          <w:bCs/>
          <w:color w:val="000000"/>
          <w:kern w:val="0"/>
          <w:sz w:val="32"/>
          <w:szCs w:val="32"/>
          <w:shd w:val="clear" w:color="auto" w:fill="FFFFFF"/>
        </w:rPr>
        <w:t>2、机关运行经费情况</w:t>
      </w:r>
    </w:p>
    <w:p>
      <w:pPr>
        <w:widowControl/>
        <w:shd w:val="clear" w:color="auto" w:fill="FFFFFF"/>
        <w:spacing w:line="390" w:lineRule="atLeas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2020年度机关运行经费财政拨款预算34.54万元，较2019年预算增加8.08万元。增加的原因主要是职能划转，业务增加。</w:t>
      </w:r>
    </w:p>
    <w:p>
      <w:pPr>
        <w:widowControl/>
        <w:shd w:val="clear" w:color="auto" w:fill="FFFFFF"/>
        <w:spacing w:line="390" w:lineRule="atLeast"/>
        <w:ind w:firstLine="645"/>
        <w:jc w:val="left"/>
        <w:rPr>
          <w:rFonts w:ascii="仿宋" w:hAnsi="仿宋" w:eastAsia="仿宋" w:cs="仿宋_GB2312"/>
          <w:b/>
          <w:bCs/>
          <w:color w:val="000000"/>
          <w:kern w:val="0"/>
          <w:sz w:val="32"/>
          <w:szCs w:val="32"/>
          <w:shd w:val="clear" w:color="auto" w:fill="FFFFFF"/>
        </w:rPr>
      </w:pPr>
      <w:r>
        <w:rPr>
          <w:rFonts w:hint="eastAsia" w:ascii="仿宋" w:hAnsi="仿宋" w:eastAsia="仿宋" w:cs="仿宋_GB2312"/>
          <w:b/>
          <w:bCs/>
          <w:color w:val="000000"/>
          <w:kern w:val="0"/>
          <w:sz w:val="32"/>
          <w:szCs w:val="32"/>
          <w:shd w:val="clear" w:color="auto" w:fill="FFFFFF"/>
        </w:rPr>
        <w:t>3、政府采购执行情况</w:t>
      </w:r>
    </w:p>
    <w:p>
      <w:pPr>
        <w:widowControl/>
        <w:shd w:val="clear" w:color="auto" w:fill="FFFFFF"/>
        <w:spacing w:line="390" w:lineRule="atLeas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2020年我单位政府采购预算总额0万元。</w:t>
      </w:r>
    </w:p>
    <w:p>
      <w:pPr>
        <w:widowControl/>
        <w:shd w:val="clear" w:color="auto" w:fill="FFFFFF"/>
        <w:spacing w:line="390" w:lineRule="atLeast"/>
        <w:ind w:firstLine="645"/>
        <w:jc w:val="left"/>
        <w:rPr>
          <w:rFonts w:ascii="仿宋" w:hAnsi="仿宋" w:eastAsia="仿宋" w:cs="仿宋_GB2312"/>
          <w:b/>
          <w:bCs/>
          <w:color w:val="000000"/>
          <w:kern w:val="0"/>
          <w:sz w:val="32"/>
          <w:szCs w:val="32"/>
          <w:shd w:val="clear" w:color="auto" w:fill="FFFFFF"/>
        </w:rPr>
      </w:pPr>
      <w:r>
        <w:rPr>
          <w:rFonts w:hint="eastAsia" w:ascii="仿宋" w:hAnsi="仿宋" w:eastAsia="仿宋" w:cs="仿宋_GB2312"/>
          <w:b/>
          <w:bCs/>
          <w:color w:val="000000"/>
          <w:kern w:val="0"/>
          <w:sz w:val="32"/>
          <w:szCs w:val="32"/>
          <w:shd w:val="clear" w:color="auto" w:fill="FFFFFF"/>
        </w:rPr>
        <w:t>4、“三公经费”预算</w:t>
      </w:r>
    </w:p>
    <w:p>
      <w:pPr>
        <w:widowControl/>
        <w:shd w:val="clear" w:color="auto" w:fill="FFFFFF"/>
        <w:spacing w:line="390" w:lineRule="atLeas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2020年度“三公经费”预算85万元，与2019年预算增加0万元,主要原因是: 2020年申请购置公务用车3辆,申请购置费预算金额60万元 。其中因公出国（境）费用 0万元，较上年预算增加0万元；公务接待费3万元，较上年预算增加0万元；公务用车运行维护费 22万元，较上年预算增加0万元；公务用车购置费60万元，较上年预算增加0万元,主要原因是: 2020年申请购置公务用车3辆，申请购置费预算金额60万元，主要有四个方面原因。一是2019年10月份报废了3辆执法执勤用车。二是全面从严治党越来越严，反腐败斗争不断深入，违规违纪案件逐年增加，工作任务大幅增加，对执法执勤车辆的需求明显增加。三是监察体制改革后，检察院原反贪局、反渎局、预防腐败局划转县纪委，设立了县监察委，工作人员大量增加，原有公务用车明显不足。四是正在进行纪检监察向党和国家机关派驻纪检组工作，此项工作完成后，工作人员进一步增加，监督力量进一步增强，公务用车将更加紧张。综合以上原因，为保障监督监察工作顺利开展，圆满完成党风廉政建设和反腐败工作任务，县纪委监察委2020年购置执法执勤车辆已十分迫切和必要。</w:t>
      </w:r>
    </w:p>
    <w:p>
      <w:pPr>
        <w:widowControl/>
        <w:shd w:val="clear" w:color="auto" w:fill="FFFFFF"/>
        <w:spacing w:line="390" w:lineRule="atLeast"/>
        <w:ind w:firstLine="630"/>
        <w:jc w:val="left"/>
        <w:rPr>
          <w:rFonts w:ascii="仿宋" w:hAnsi="仿宋" w:eastAsia="仿宋" w:cs="微软雅黑"/>
          <w:b/>
          <w:bCs/>
          <w:color w:val="000000"/>
          <w:sz w:val="32"/>
          <w:szCs w:val="32"/>
        </w:rPr>
      </w:pPr>
      <w:r>
        <w:rPr>
          <w:rFonts w:hint="eastAsia" w:ascii="仿宋" w:hAnsi="仿宋" w:eastAsia="仿宋" w:cs="仿宋_GB2312"/>
          <w:b/>
          <w:bCs/>
          <w:color w:val="000000"/>
          <w:kern w:val="0"/>
          <w:sz w:val="32"/>
          <w:szCs w:val="32"/>
          <w:shd w:val="clear" w:color="auto" w:fill="FFFFFF"/>
        </w:rPr>
        <w:t>5、绩效管理情况</w:t>
      </w:r>
    </w:p>
    <w:p>
      <w:pPr>
        <w:widowControl/>
        <w:shd w:val="clear" w:color="auto" w:fill="FFFFFF"/>
        <w:spacing w:line="390" w:lineRule="atLeas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2020年度本部门设定绩效目标管理的项目共0个，共0万元。</w:t>
      </w:r>
    </w:p>
    <w:p>
      <w:pPr>
        <w:widowControl/>
        <w:shd w:val="clear" w:color="auto" w:fill="FFFFFF"/>
        <w:spacing w:line="390" w:lineRule="atLeast"/>
        <w:ind w:firstLine="630"/>
        <w:jc w:val="left"/>
        <w:rPr>
          <w:rFonts w:ascii="仿宋" w:hAnsi="仿宋" w:eastAsia="仿宋" w:cs="仿宋_GB2312"/>
          <w:b/>
          <w:bCs/>
          <w:color w:val="000000"/>
          <w:kern w:val="0"/>
          <w:sz w:val="32"/>
          <w:szCs w:val="32"/>
          <w:shd w:val="clear" w:color="auto" w:fill="FFFFFF"/>
        </w:rPr>
      </w:pPr>
      <w:r>
        <w:rPr>
          <w:rFonts w:hint="eastAsia" w:ascii="仿宋" w:hAnsi="仿宋" w:eastAsia="仿宋" w:cs="仿宋_GB2312"/>
          <w:b/>
          <w:bCs/>
          <w:color w:val="000000"/>
          <w:kern w:val="0"/>
          <w:sz w:val="32"/>
          <w:szCs w:val="32"/>
          <w:shd w:val="clear" w:color="auto" w:fill="FFFFFF"/>
        </w:rPr>
        <w:t>6、国有资产占用情况</w:t>
      </w:r>
    </w:p>
    <w:p>
      <w:pPr>
        <w:widowControl/>
        <w:shd w:val="clear" w:color="auto" w:fill="FFFFFF"/>
        <w:spacing w:line="390" w:lineRule="atLeast"/>
        <w:ind w:firstLine="645"/>
        <w:rPr>
          <w:rFonts w:ascii="仿宋_GB2312" w:hAnsi="仿宋_GB2312" w:eastAsia="仿宋_GB2312" w:cs="仿宋_GB2312"/>
          <w:sz w:val="32"/>
          <w:szCs w:val="32"/>
        </w:rPr>
      </w:pPr>
      <w:r>
        <w:rPr>
          <w:rFonts w:hint="eastAsia" w:ascii="仿宋_GB2312" w:hAnsi="仿宋_GB2312" w:eastAsia="仿宋_GB2312" w:cs="仿宋_GB2312"/>
          <w:sz w:val="32"/>
          <w:szCs w:val="32"/>
        </w:rPr>
        <w:t>2019年期末，我单位共有车辆4辆，其中：一般公务用车1辆，执法执勤用车3辆；单价50万元以上通用设备0台，单位价值100万元以上专用设备0台。</w:t>
      </w:r>
    </w:p>
    <w:p>
      <w:pPr>
        <w:widowControl/>
        <w:shd w:val="clear" w:color="auto" w:fill="FFFFFF"/>
        <w:spacing w:line="390" w:lineRule="atLeast"/>
        <w:ind w:firstLine="630"/>
        <w:jc w:val="left"/>
        <w:rPr>
          <w:rFonts w:ascii="黑体" w:hAnsi="黑体" w:eastAsia="黑体" w:cs="黑体"/>
          <w:color w:val="000000"/>
          <w:kern w:val="0"/>
          <w:sz w:val="32"/>
          <w:szCs w:val="32"/>
          <w:shd w:val="clear" w:color="auto" w:fill="FFFFFF"/>
        </w:rPr>
      </w:pPr>
      <w:r>
        <w:rPr>
          <w:rFonts w:hint="eastAsia" w:ascii="黑体" w:hAnsi="黑体" w:eastAsia="黑体" w:cs="黑体"/>
          <w:color w:val="000000"/>
          <w:kern w:val="0"/>
          <w:sz w:val="32"/>
          <w:szCs w:val="32"/>
          <w:shd w:val="clear" w:color="auto" w:fill="FFFFFF"/>
        </w:rPr>
        <w:t>四、名词解释</w:t>
      </w:r>
    </w:p>
    <w:p>
      <w:pPr>
        <w:widowControl/>
        <w:shd w:val="clear" w:color="auto" w:fill="FFFFFF"/>
        <w:spacing w:line="390" w:lineRule="atLeast"/>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（一）基本支出：指为保障机构正常运转、完成日常工作任务而发生的人员支出和公用支出。</w:t>
      </w:r>
    </w:p>
    <w:p>
      <w:pPr>
        <w:widowControl/>
        <w:shd w:val="clear" w:color="auto" w:fill="FFFFFF"/>
        <w:spacing w:line="390" w:lineRule="atLeast"/>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（二）项目支出：指在基本支出之外为完成特定行政任务和事业发展目标所发生的支出。</w:t>
      </w:r>
    </w:p>
    <w:p>
      <w:pPr>
        <w:widowControl/>
        <w:shd w:val="clear" w:color="auto" w:fill="FFFFFF"/>
        <w:spacing w:line="390" w:lineRule="atLeast"/>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机关运行经费：指各部门的公用经费，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spacing w:line="390" w:lineRule="atLeast"/>
        <w:ind w:firstLine="645"/>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三公”经费：指县直部门用一般公共预算安排的因公出国（境）费、公务用车购置及运行费和公务接待费。其中，因公出国（境）费反映单位公务出国（境）的国际差旅费、国外城市间交通费、住宿费、伙食费、培训费、公杂费等支出；公务用车购置费反映公务用车车辆购置支出（含车辆购置税）；公务用车运行维护费反映单位按规定保留的公务用车燃料费、维修费、过路过桥费、保险费等支出；公务接待费反映单位按规定开支的各类公务接待支出。</w:t>
      </w:r>
    </w:p>
    <w:p>
      <w:pPr>
        <w:widowControl/>
        <w:shd w:val="clear" w:color="auto" w:fill="FFFFFF"/>
        <w:spacing w:line="390" w:lineRule="atLeast"/>
        <w:ind w:firstLine="630"/>
        <w:jc w:val="left"/>
        <w:rPr>
          <w:rFonts w:ascii="仿宋" w:hAnsi="仿宋" w:eastAsia="仿宋" w:cs="仿宋_GB2312"/>
          <w:color w:val="000000"/>
          <w:kern w:val="0"/>
          <w:sz w:val="32"/>
          <w:szCs w:val="32"/>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文星楷体">
    <w:panose1 w:val="0201060900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C35A8"/>
    <w:rsid w:val="00054D66"/>
    <w:rsid w:val="00061498"/>
    <w:rsid w:val="000708C6"/>
    <w:rsid w:val="000A218B"/>
    <w:rsid w:val="000B6238"/>
    <w:rsid w:val="000D781D"/>
    <w:rsid w:val="00150847"/>
    <w:rsid w:val="00181B4A"/>
    <w:rsid w:val="001825BA"/>
    <w:rsid w:val="001B4FA5"/>
    <w:rsid w:val="001C3D0B"/>
    <w:rsid w:val="001D62A5"/>
    <w:rsid w:val="00202AE7"/>
    <w:rsid w:val="0022432E"/>
    <w:rsid w:val="002760E8"/>
    <w:rsid w:val="002C344E"/>
    <w:rsid w:val="002D3A84"/>
    <w:rsid w:val="002E6400"/>
    <w:rsid w:val="002E7805"/>
    <w:rsid w:val="002F1CAD"/>
    <w:rsid w:val="002F5190"/>
    <w:rsid w:val="00306B07"/>
    <w:rsid w:val="003303CF"/>
    <w:rsid w:val="003C221B"/>
    <w:rsid w:val="003D155B"/>
    <w:rsid w:val="003E54B3"/>
    <w:rsid w:val="004137F8"/>
    <w:rsid w:val="00420B82"/>
    <w:rsid w:val="00426C3F"/>
    <w:rsid w:val="0044083B"/>
    <w:rsid w:val="004470D3"/>
    <w:rsid w:val="00466C1E"/>
    <w:rsid w:val="0049452C"/>
    <w:rsid w:val="004A5599"/>
    <w:rsid w:val="004C726B"/>
    <w:rsid w:val="004F6336"/>
    <w:rsid w:val="00530A9E"/>
    <w:rsid w:val="00534791"/>
    <w:rsid w:val="00573D0C"/>
    <w:rsid w:val="005758A8"/>
    <w:rsid w:val="005937FB"/>
    <w:rsid w:val="005B5DE6"/>
    <w:rsid w:val="005B77B7"/>
    <w:rsid w:val="005C35A8"/>
    <w:rsid w:val="005D49F2"/>
    <w:rsid w:val="005F0150"/>
    <w:rsid w:val="006063FD"/>
    <w:rsid w:val="00606E68"/>
    <w:rsid w:val="00624349"/>
    <w:rsid w:val="00627D4B"/>
    <w:rsid w:val="00654D04"/>
    <w:rsid w:val="006556AD"/>
    <w:rsid w:val="00662F68"/>
    <w:rsid w:val="006741CB"/>
    <w:rsid w:val="0069653C"/>
    <w:rsid w:val="006A09B1"/>
    <w:rsid w:val="006B7248"/>
    <w:rsid w:val="006B72BA"/>
    <w:rsid w:val="00750D4E"/>
    <w:rsid w:val="00773DF9"/>
    <w:rsid w:val="007C2BEB"/>
    <w:rsid w:val="007D7E6C"/>
    <w:rsid w:val="00806B9B"/>
    <w:rsid w:val="008310E2"/>
    <w:rsid w:val="00851416"/>
    <w:rsid w:val="0086791D"/>
    <w:rsid w:val="00881733"/>
    <w:rsid w:val="008C77AD"/>
    <w:rsid w:val="0092470C"/>
    <w:rsid w:val="009363B1"/>
    <w:rsid w:val="00962B45"/>
    <w:rsid w:val="00974C93"/>
    <w:rsid w:val="009D3763"/>
    <w:rsid w:val="009E0B3B"/>
    <w:rsid w:val="009E3694"/>
    <w:rsid w:val="00A47847"/>
    <w:rsid w:val="00A4794F"/>
    <w:rsid w:val="00A57F01"/>
    <w:rsid w:val="00A86136"/>
    <w:rsid w:val="00B01A06"/>
    <w:rsid w:val="00B06064"/>
    <w:rsid w:val="00B51E00"/>
    <w:rsid w:val="00B5684E"/>
    <w:rsid w:val="00B72FCE"/>
    <w:rsid w:val="00BA6638"/>
    <w:rsid w:val="00BE415F"/>
    <w:rsid w:val="00BF2AD3"/>
    <w:rsid w:val="00C23AEC"/>
    <w:rsid w:val="00C45591"/>
    <w:rsid w:val="00C82676"/>
    <w:rsid w:val="00C85D50"/>
    <w:rsid w:val="00CE1A7B"/>
    <w:rsid w:val="00D006F0"/>
    <w:rsid w:val="00D04604"/>
    <w:rsid w:val="00D2615E"/>
    <w:rsid w:val="00D611A3"/>
    <w:rsid w:val="00DC5CD2"/>
    <w:rsid w:val="00DF5D24"/>
    <w:rsid w:val="00E34F9A"/>
    <w:rsid w:val="00E5027D"/>
    <w:rsid w:val="00EA1DA0"/>
    <w:rsid w:val="00EC63A8"/>
    <w:rsid w:val="00EE0E53"/>
    <w:rsid w:val="00F033AA"/>
    <w:rsid w:val="00F13FBC"/>
    <w:rsid w:val="00F36BBF"/>
    <w:rsid w:val="00F73150"/>
    <w:rsid w:val="00F94CA3"/>
    <w:rsid w:val="028050F1"/>
    <w:rsid w:val="03AF44A9"/>
    <w:rsid w:val="048B5C55"/>
    <w:rsid w:val="08FA4E8A"/>
    <w:rsid w:val="0E4A6C07"/>
    <w:rsid w:val="0E621B60"/>
    <w:rsid w:val="1251117B"/>
    <w:rsid w:val="12C811F3"/>
    <w:rsid w:val="14EF40DE"/>
    <w:rsid w:val="16062279"/>
    <w:rsid w:val="184316FC"/>
    <w:rsid w:val="18681495"/>
    <w:rsid w:val="18CA5F21"/>
    <w:rsid w:val="19991486"/>
    <w:rsid w:val="1CCF0310"/>
    <w:rsid w:val="1D5D5C45"/>
    <w:rsid w:val="1EDA140A"/>
    <w:rsid w:val="20573AC5"/>
    <w:rsid w:val="226B0295"/>
    <w:rsid w:val="26741960"/>
    <w:rsid w:val="2ACF4B85"/>
    <w:rsid w:val="2B2217DA"/>
    <w:rsid w:val="2D462CE1"/>
    <w:rsid w:val="2E9A42FE"/>
    <w:rsid w:val="2F3D3B20"/>
    <w:rsid w:val="2FAD3FC0"/>
    <w:rsid w:val="3E4168B2"/>
    <w:rsid w:val="43FB630B"/>
    <w:rsid w:val="442D6DFE"/>
    <w:rsid w:val="464D4031"/>
    <w:rsid w:val="4B5749F8"/>
    <w:rsid w:val="4B7B7166"/>
    <w:rsid w:val="4BA17492"/>
    <w:rsid w:val="4C896DB1"/>
    <w:rsid w:val="4F8F2329"/>
    <w:rsid w:val="52A46D36"/>
    <w:rsid w:val="538E2C6F"/>
    <w:rsid w:val="56016913"/>
    <w:rsid w:val="56E47DEE"/>
    <w:rsid w:val="57E00BF1"/>
    <w:rsid w:val="62E55358"/>
    <w:rsid w:val="63A36064"/>
    <w:rsid w:val="6C5551CC"/>
    <w:rsid w:val="6D453EE0"/>
    <w:rsid w:val="6DB9643B"/>
    <w:rsid w:val="7048463E"/>
    <w:rsid w:val="70D12887"/>
    <w:rsid w:val="717D795B"/>
    <w:rsid w:val="742732BA"/>
    <w:rsid w:val="746E0E38"/>
    <w:rsid w:val="77F8469F"/>
    <w:rsid w:val="78923E51"/>
    <w:rsid w:val="7BCE256C"/>
    <w:rsid w:val="7CC42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kern w:val="2"/>
      <w:sz w:val="18"/>
      <w:szCs w:val="18"/>
    </w:rPr>
  </w:style>
  <w:style w:type="character" w:customStyle="1" w:styleId="7">
    <w:name w:val="页脚 Char"/>
    <w:basedOn w:val="4"/>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8</Pages>
  <Words>500</Words>
  <Characters>2851</Characters>
  <Lines>23</Lines>
  <Paragraphs>6</Paragraphs>
  <TotalTime>0</TotalTime>
  <ScaleCrop>false</ScaleCrop>
  <LinksUpToDate>false</LinksUpToDate>
  <CharactersWithSpaces>3345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2021-05-21T09:23:00Z</dcterms:created>
  <dc:creator>xbany</dc:creator>
  <cp:lastModifiedBy>Administrator</cp:lastModifiedBy>
  <dcterms:modified xsi:type="dcterms:W3CDTF">2021-06-10T01:26:10Z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