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ascii="黑体" w:hAnsi="黑体" w:eastAsia="黑体" w:cs="黑体"/>
          <w:color w:val="auto"/>
          <w:sz w:val="32"/>
          <w:szCs w:val="32"/>
          <w:lang w:val="en-US" w:eastAsia="zh-CN"/>
        </w:rPr>
      </w:pPr>
      <w:r>
        <w:rPr>
          <w:rFonts w:hint="eastAsia" w:ascii="黑体" w:hAnsi="黑体" w:eastAsia="黑体" w:cs="黑体"/>
          <w:color w:val="auto"/>
          <w:sz w:val="32"/>
          <w:szCs w:val="32"/>
          <w:lang w:eastAsia="zh-CN"/>
        </w:rPr>
        <w:t>附件</w:t>
      </w:r>
      <w:r>
        <w:rPr>
          <w:rFonts w:hint="eastAsia" w:ascii="黑体" w:hAnsi="黑体" w:eastAsia="黑体" w:cs="黑体"/>
          <w:color w:val="auto"/>
          <w:sz w:val="32"/>
          <w:szCs w:val="32"/>
          <w:lang w:val="en-US" w:eastAsia="zh-CN"/>
        </w:rPr>
        <w:t>2</w:t>
      </w:r>
    </w:p>
    <w:p>
      <w:pPr>
        <w:keepNext w:val="0"/>
        <w:keepLines w:val="0"/>
        <w:pageBreakBefore w:val="0"/>
        <w:widowControl w:val="0"/>
        <w:kinsoku/>
        <w:wordWrap/>
        <w:overflowPunct/>
        <w:topLinePunct w:val="0"/>
        <w:autoSpaceDE/>
        <w:autoSpaceDN/>
        <w:bidi w:val="0"/>
        <w:adjustRightInd/>
        <w:snapToGrid/>
        <w:spacing w:before="0" w:beforeLines="0" w:after="0" w:afterLines="0" w:line="570" w:lineRule="exact"/>
        <w:ind w:right="0" w:rightChars="0"/>
        <w:jc w:val="center"/>
        <w:textAlignment w:val="auto"/>
        <w:outlineLvl w:val="9"/>
        <w:rPr>
          <w:rFonts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lang w:eastAsia="zh-CN"/>
        </w:rPr>
        <w:t>王小屯</w:t>
      </w:r>
      <w:r>
        <w:rPr>
          <w:rFonts w:hint="eastAsia" w:ascii="方正小标宋简体" w:hAnsi="方正小标宋简体" w:eastAsia="方正小标宋简体" w:cs="方正小标宋简体"/>
          <w:color w:val="auto"/>
          <w:sz w:val="44"/>
          <w:szCs w:val="44"/>
        </w:rPr>
        <w:t>村</w:t>
      </w:r>
      <w:r>
        <w:rPr>
          <w:rFonts w:hint="eastAsia" w:ascii="方正小标宋简体" w:hAnsi="方正小标宋简体" w:eastAsia="方正小标宋简体" w:cs="方正小标宋简体"/>
          <w:color w:val="auto"/>
          <w:sz w:val="44"/>
          <w:szCs w:val="44"/>
          <w:lang w:val="en-US" w:eastAsia="zh-CN"/>
        </w:rPr>
        <w:t>贯彻落实区委巡察反馈意见整改情况台账</w:t>
      </w:r>
    </w:p>
    <w:tbl>
      <w:tblPr>
        <w:tblStyle w:val="4"/>
        <w:tblW w:w="14128" w:type="dxa"/>
        <w:tblInd w:w="-5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9"/>
        <w:gridCol w:w="2454"/>
        <w:gridCol w:w="2196"/>
        <w:gridCol w:w="84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tblHeader/>
        </w:trPr>
        <w:tc>
          <w:tcPr>
            <w:tcW w:w="1009" w:type="dxa"/>
            <w:vAlign w:val="center"/>
          </w:tcPr>
          <w:p>
            <w:pPr>
              <w:jc w:val="center"/>
              <w:rPr>
                <w:rFonts w:ascii="黑体" w:hAnsi="黑体" w:eastAsia="黑体" w:cs="黑体"/>
                <w:color w:val="auto"/>
                <w:sz w:val="28"/>
                <w:szCs w:val="28"/>
              </w:rPr>
            </w:pPr>
            <w:r>
              <w:rPr>
                <w:rFonts w:hint="eastAsia" w:ascii="黑体" w:hAnsi="黑体" w:eastAsia="黑体" w:cs="黑体"/>
                <w:color w:val="auto"/>
                <w:sz w:val="28"/>
                <w:szCs w:val="28"/>
              </w:rPr>
              <w:t>序号</w:t>
            </w:r>
          </w:p>
        </w:tc>
        <w:tc>
          <w:tcPr>
            <w:tcW w:w="2454" w:type="dxa"/>
            <w:vAlign w:val="center"/>
          </w:tcPr>
          <w:p>
            <w:pPr>
              <w:jc w:val="center"/>
              <w:rPr>
                <w:rFonts w:ascii="黑体" w:hAnsi="黑体" w:eastAsia="黑体" w:cs="黑体"/>
                <w:color w:val="auto"/>
                <w:sz w:val="28"/>
                <w:szCs w:val="28"/>
              </w:rPr>
            </w:pPr>
            <w:r>
              <w:rPr>
                <w:rFonts w:hint="eastAsia" w:ascii="黑体" w:hAnsi="黑体" w:eastAsia="黑体" w:cs="黑体"/>
                <w:color w:val="auto"/>
                <w:sz w:val="28"/>
                <w:szCs w:val="28"/>
              </w:rPr>
              <w:t>问题类别</w:t>
            </w:r>
          </w:p>
        </w:tc>
        <w:tc>
          <w:tcPr>
            <w:tcW w:w="2196" w:type="dxa"/>
            <w:vAlign w:val="center"/>
          </w:tcPr>
          <w:p>
            <w:pPr>
              <w:jc w:val="center"/>
              <w:rPr>
                <w:rFonts w:ascii="黑体" w:hAnsi="黑体" w:eastAsia="黑体" w:cs="黑体"/>
                <w:color w:val="auto"/>
                <w:sz w:val="28"/>
                <w:szCs w:val="28"/>
              </w:rPr>
            </w:pPr>
            <w:r>
              <w:rPr>
                <w:rFonts w:hint="eastAsia" w:ascii="黑体" w:hAnsi="黑体" w:eastAsia="黑体" w:cs="黑体"/>
                <w:color w:val="auto"/>
                <w:sz w:val="28"/>
                <w:szCs w:val="28"/>
              </w:rPr>
              <w:t>问题描述</w:t>
            </w:r>
          </w:p>
        </w:tc>
        <w:tc>
          <w:tcPr>
            <w:tcW w:w="8469" w:type="dxa"/>
            <w:vAlign w:val="center"/>
          </w:tcPr>
          <w:p>
            <w:pPr>
              <w:jc w:val="center"/>
              <w:rPr>
                <w:rFonts w:hint="eastAsia" w:ascii="黑体" w:hAnsi="黑体" w:eastAsia="黑体" w:cs="黑体"/>
                <w:color w:val="auto"/>
                <w:sz w:val="28"/>
                <w:szCs w:val="28"/>
                <w:lang w:eastAsia="zh-CN"/>
              </w:rPr>
            </w:pPr>
            <w:r>
              <w:rPr>
                <w:rFonts w:hint="eastAsia" w:ascii="黑体" w:hAnsi="黑体" w:eastAsia="黑体" w:cs="黑体"/>
                <w:color w:val="auto"/>
                <w:sz w:val="28"/>
                <w:szCs w:val="28"/>
                <w:lang w:eastAsia="zh-CN"/>
              </w:rPr>
              <w:t>整改情况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1" w:hRule="atLeast"/>
        </w:trPr>
        <w:tc>
          <w:tcPr>
            <w:tcW w:w="1009" w:type="dxa"/>
            <w:vAlign w:val="center"/>
          </w:tcPr>
          <w:p>
            <w:pPr>
              <w:widowControl/>
              <w:jc w:val="center"/>
              <w:textAlignment w:val="center"/>
              <w:rPr>
                <w:rFonts w:ascii="仿宋_GB2312" w:hAnsi="仿宋_GB2312" w:eastAsia="仿宋_GB2312" w:cs="仿宋_GB2312"/>
                <w:color w:val="auto"/>
                <w:sz w:val="22"/>
                <w:szCs w:val="22"/>
              </w:rPr>
            </w:pPr>
            <w:r>
              <w:rPr>
                <w:rFonts w:hint="eastAsia" w:ascii="仿宋_GB2312" w:hAnsi="仿宋_GB2312" w:eastAsia="仿宋_GB2312" w:cs="仿宋_GB2312"/>
                <w:color w:val="auto"/>
                <w:kern w:val="0"/>
                <w:sz w:val="22"/>
                <w:szCs w:val="22"/>
                <w:lang w:bidi="ar"/>
              </w:rPr>
              <w:t>1</w:t>
            </w:r>
          </w:p>
        </w:tc>
        <w:tc>
          <w:tcPr>
            <w:tcW w:w="2454" w:type="dxa"/>
            <w:vAlign w:val="center"/>
          </w:tcPr>
          <w:p>
            <w:pPr>
              <w:widowControl/>
              <w:textAlignment w:val="center"/>
              <w:rPr>
                <w:rFonts w:ascii="仿宋_GB2312" w:hAnsi="仿宋_GB2312" w:eastAsia="仿宋_GB2312" w:cs="仿宋_GB2312"/>
                <w:b/>
                <w:bCs/>
                <w:color w:val="auto"/>
                <w:sz w:val="22"/>
                <w:szCs w:val="22"/>
              </w:rPr>
            </w:pPr>
            <w:r>
              <w:rPr>
                <w:rFonts w:hint="eastAsia" w:ascii="仿宋_GB2312" w:hAnsi="仿宋_GB2312" w:eastAsia="仿宋_GB2312" w:cs="仿宋_GB2312"/>
                <w:color w:val="auto"/>
                <w:kern w:val="0"/>
                <w:sz w:val="22"/>
                <w:szCs w:val="22"/>
                <w:lang w:bidi="ar"/>
              </w:rPr>
              <w:t>对学习贯彻习近平新时代中国特色社会主义思想和党的二十大精神学习不到位。</w:t>
            </w:r>
          </w:p>
        </w:tc>
        <w:tc>
          <w:tcPr>
            <w:tcW w:w="2196" w:type="dxa"/>
            <w:vAlign w:val="center"/>
          </w:tcPr>
          <w:p>
            <w:pPr>
              <w:widowControl/>
              <w:textAlignment w:val="center"/>
              <w:rPr>
                <w:rFonts w:ascii="仿宋_GB2312" w:hAnsi="仿宋_GB2312" w:eastAsia="仿宋_GB2312" w:cs="仿宋_GB2312"/>
                <w:b/>
                <w:bCs/>
                <w:color w:val="auto"/>
                <w:sz w:val="22"/>
                <w:szCs w:val="22"/>
              </w:rPr>
            </w:pPr>
            <w:r>
              <w:rPr>
                <w:rFonts w:hint="eastAsia" w:ascii="仿宋_GB2312" w:hAnsi="仿宋_GB2312" w:eastAsia="仿宋_GB2312" w:cs="仿宋_GB2312"/>
                <w:color w:val="auto"/>
                <w:kern w:val="0"/>
                <w:sz w:val="22"/>
                <w:szCs w:val="22"/>
                <w:lang w:bidi="ar"/>
              </w:rPr>
              <w:t>学习不重视、不深入。</w:t>
            </w:r>
          </w:p>
        </w:tc>
        <w:tc>
          <w:tcPr>
            <w:tcW w:w="8469" w:type="dxa"/>
            <w:vAlign w:val="center"/>
          </w:tcPr>
          <w:p>
            <w:pPr>
              <w:widowControl/>
              <w:textAlignment w:val="center"/>
              <w:rPr>
                <w:rFonts w:hint="eastAsia" w:ascii="仿宋_GB2312" w:hAnsi="仿宋_GB2312" w:eastAsia="仿宋_GB2312" w:cs="仿宋_GB2312"/>
                <w:color w:val="auto"/>
                <w:kern w:val="0"/>
                <w:sz w:val="22"/>
                <w:szCs w:val="22"/>
                <w:lang w:eastAsia="zh-CN" w:bidi="ar"/>
              </w:rPr>
            </w:pPr>
            <w:r>
              <w:rPr>
                <w:rFonts w:hint="eastAsia" w:ascii="仿宋_GB2312" w:hAnsi="仿宋_GB2312" w:eastAsia="仿宋_GB2312" w:cs="仿宋_GB2312"/>
                <w:color w:val="auto"/>
                <w:kern w:val="0"/>
                <w:sz w:val="22"/>
                <w:szCs w:val="22"/>
                <w:lang w:val="en-US" w:eastAsia="zh-CN" w:bidi="ar"/>
              </w:rPr>
              <w:t>2023年</w:t>
            </w:r>
            <w:r>
              <w:rPr>
                <w:rFonts w:hint="eastAsia" w:ascii="仿宋_GB2312" w:hAnsi="仿宋_GB2312" w:eastAsia="仿宋_GB2312" w:cs="仿宋_GB2312"/>
                <w:color w:val="auto"/>
                <w:kern w:val="0"/>
                <w:sz w:val="22"/>
                <w:szCs w:val="22"/>
                <w:lang w:bidi="ar"/>
              </w:rPr>
              <w:t>6月28日</w:t>
            </w:r>
            <w:r>
              <w:rPr>
                <w:rFonts w:hint="eastAsia" w:ascii="仿宋_GB2312" w:hAnsi="仿宋_GB2312" w:eastAsia="仿宋_GB2312" w:cs="仿宋_GB2312"/>
                <w:color w:val="auto"/>
                <w:kern w:val="0"/>
                <w:sz w:val="22"/>
                <w:szCs w:val="22"/>
                <w:lang w:eastAsia="zh-CN" w:bidi="ar"/>
              </w:rPr>
              <w:t>，在</w:t>
            </w:r>
            <w:r>
              <w:rPr>
                <w:rFonts w:hint="eastAsia" w:ascii="仿宋_GB2312" w:hAnsi="仿宋_GB2312" w:eastAsia="仿宋_GB2312" w:cs="仿宋_GB2312"/>
                <w:color w:val="auto"/>
                <w:kern w:val="0"/>
                <w:sz w:val="22"/>
                <w:szCs w:val="22"/>
                <w:lang w:bidi="ar"/>
              </w:rPr>
              <w:t>党员会上</w:t>
            </w:r>
            <w:r>
              <w:rPr>
                <w:rFonts w:hint="eastAsia" w:ascii="仿宋_GB2312" w:hAnsi="仿宋_GB2312" w:eastAsia="仿宋_GB2312" w:cs="仿宋_GB2312"/>
                <w:color w:val="auto"/>
                <w:kern w:val="0"/>
                <w:sz w:val="22"/>
                <w:szCs w:val="22"/>
                <w:lang w:eastAsia="zh-CN" w:bidi="ar"/>
              </w:rPr>
              <w:t>学习了</w:t>
            </w:r>
            <w:r>
              <w:rPr>
                <w:rFonts w:hint="eastAsia" w:ascii="仿宋_GB2312" w:hAnsi="仿宋_GB2312" w:eastAsia="仿宋_GB2312" w:cs="仿宋_GB2312"/>
                <w:color w:val="auto"/>
                <w:kern w:val="0"/>
                <w:sz w:val="22"/>
                <w:szCs w:val="22"/>
                <w:lang w:bidi="ar"/>
              </w:rPr>
              <w:t>习近平新时代中国特色社会主义思想</w:t>
            </w:r>
            <w:r>
              <w:rPr>
                <w:rFonts w:hint="eastAsia" w:ascii="仿宋_GB2312" w:hAnsi="仿宋_GB2312" w:eastAsia="仿宋_GB2312" w:cs="仿宋_GB2312"/>
                <w:color w:val="auto"/>
                <w:kern w:val="0"/>
                <w:sz w:val="22"/>
                <w:szCs w:val="22"/>
                <w:lang w:eastAsia="zh-CN" w:bidi="ar"/>
              </w:rPr>
              <w:t>和</w:t>
            </w:r>
            <w:r>
              <w:rPr>
                <w:rFonts w:hint="eastAsia" w:ascii="仿宋_GB2312" w:hAnsi="仿宋_GB2312" w:eastAsia="仿宋_GB2312" w:cs="仿宋_GB2312"/>
                <w:color w:val="auto"/>
                <w:kern w:val="0"/>
                <w:sz w:val="22"/>
                <w:szCs w:val="22"/>
                <w:lang w:bidi="ar"/>
              </w:rPr>
              <w:t>党的二十大精神，并在党员微信群里宣传党的二十大</w:t>
            </w:r>
            <w:r>
              <w:rPr>
                <w:rFonts w:hint="eastAsia" w:ascii="仿宋_GB2312" w:hAnsi="仿宋_GB2312" w:eastAsia="仿宋_GB2312" w:cs="仿宋_GB2312"/>
                <w:color w:val="auto"/>
                <w:kern w:val="0"/>
                <w:sz w:val="22"/>
                <w:szCs w:val="22"/>
                <w:lang w:eastAsia="zh-CN" w:bidi="ar"/>
              </w:rPr>
              <w:t>以及</w:t>
            </w:r>
            <w:r>
              <w:rPr>
                <w:rFonts w:hint="eastAsia" w:ascii="仿宋_GB2312" w:hAnsi="仿宋_GB2312" w:eastAsia="仿宋_GB2312" w:cs="仿宋_GB2312"/>
                <w:color w:val="auto"/>
                <w:kern w:val="0"/>
                <w:sz w:val="22"/>
                <w:szCs w:val="22"/>
                <w:lang w:bidi="ar"/>
              </w:rPr>
              <w:t>建功新时代</w:t>
            </w:r>
            <w:r>
              <w:rPr>
                <w:rFonts w:hint="eastAsia" w:ascii="仿宋_GB2312" w:hAnsi="仿宋_GB2312" w:eastAsia="仿宋_GB2312" w:cs="仿宋_GB2312"/>
                <w:color w:val="auto"/>
                <w:kern w:val="0"/>
                <w:sz w:val="22"/>
                <w:szCs w:val="22"/>
                <w:lang w:eastAsia="zh-CN" w:bidi="ar"/>
              </w:rPr>
              <w:t>等</w:t>
            </w:r>
            <w:r>
              <w:rPr>
                <w:rFonts w:hint="eastAsia" w:ascii="仿宋_GB2312" w:hAnsi="仿宋_GB2312" w:eastAsia="仿宋_GB2312" w:cs="仿宋_GB2312"/>
                <w:color w:val="auto"/>
                <w:kern w:val="0"/>
                <w:sz w:val="22"/>
                <w:szCs w:val="22"/>
                <w:lang w:bidi="ar"/>
              </w:rPr>
              <w:t>内容</w:t>
            </w:r>
            <w:r>
              <w:rPr>
                <w:rFonts w:hint="eastAsia" w:ascii="仿宋_GB2312" w:hAnsi="仿宋_GB2312" w:eastAsia="仿宋_GB2312" w:cs="仿宋_GB2312"/>
                <w:color w:val="auto"/>
                <w:kern w:val="0"/>
                <w:sz w:val="22"/>
                <w:szCs w:val="22"/>
                <w:lang w:eastAsia="zh-CN" w:bidi="ar"/>
              </w:rPr>
              <w:t>；</w:t>
            </w:r>
            <w:r>
              <w:rPr>
                <w:rFonts w:hint="eastAsia" w:ascii="仿宋_GB2312" w:hAnsi="仿宋_GB2312" w:eastAsia="仿宋_GB2312" w:cs="仿宋_GB2312"/>
                <w:color w:val="auto"/>
                <w:kern w:val="0"/>
                <w:sz w:val="22"/>
                <w:szCs w:val="22"/>
                <w:lang w:val="en-US" w:eastAsia="zh-CN" w:bidi="ar"/>
              </w:rPr>
              <w:t>2023年</w:t>
            </w:r>
            <w:r>
              <w:rPr>
                <w:rFonts w:hint="eastAsia" w:ascii="仿宋_GB2312" w:hAnsi="仿宋_GB2312" w:eastAsia="仿宋_GB2312" w:cs="仿宋_GB2312"/>
                <w:color w:val="auto"/>
                <w:kern w:val="0"/>
                <w:sz w:val="22"/>
                <w:szCs w:val="22"/>
                <w:lang w:eastAsia="zh-CN" w:bidi="ar"/>
              </w:rPr>
              <w:t>7月28日，组织学习了党的二十大和习近平新时代中国特色社会主义思想。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4" w:hRule="atLeast"/>
        </w:trPr>
        <w:tc>
          <w:tcPr>
            <w:tcW w:w="1009" w:type="dxa"/>
            <w:vAlign w:val="center"/>
          </w:tcPr>
          <w:p>
            <w:pPr>
              <w:widowControl/>
              <w:jc w:val="center"/>
              <w:textAlignment w:val="center"/>
              <w:rPr>
                <w:rFonts w:ascii="仿宋_GB2312" w:hAnsi="仿宋_GB2312" w:eastAsia="仿宋_GB2312" w:cs="仿宋_GB2312"/>
                <w:color w:val="auto"/>
                <w:sz w:val="22"/>
                <w:szCs w:val="22"/>
              </w:rPr>
            </w:pPr>
            <w:r>
              <w:rPr>
                <w:rFonts w:hint="eastAsia" w:ascii="仿宋_GB2312" w:hAnsi="仿宋_GB2312" w:eastAsia="仿宋_GB2312" w:cs="仿宋_GB2312"/>
                <w:color w:val="auto"/>
                <w:kern w:val="0"/>
                <w:sz w:val="22"/>
                <w:szCs w:val="22"/>
                <w:lang w:bidi="ar"/>
              </w:rPr>
              <w:t>2</w:t>
            </w:r>
          </w:p>
        </w:tc>
        <w:tc>
          <w:tcPr>
            <w:tcW w:w="2454" w:type="dxa"/>
            <w:vMerge w:val="restart"/>
            <w:vAlign w:val="center"/>
          </w:tcPr>
          <w:p>
            <w:pPr>
              <w:rPr>
                <w:rFonts w:hint="eastAsia" w:ascii="仿宋_GB2312" w:hAnsi="仿宋_GB2312" w:eastAsia="仿宋_GB2312" w:cs="仿宋_GB2312"/>
                <w:b/>
                <w:bCs/>
                <w:color w:val="auto"/>
                <w:sz w:val="22"/>
                <w:szCs w:val="22"/>
                <w:lang w:eastAsia="zh-CN"/>
              </w:rPr>
            </w:pPr>
            <w:r>
              <w:rPr>
                <w:rFonts w:hint="eastAsia" w:ascii="仿宋_GB2312" w:hAnsi="仿宋_GB2312" w:eastAsia="仿宋_GB2312" w:cs="仿宋_GB2312"/>
                <w:color w:val="auto"/>
                <w:kern w:val="0"/>
                <w:sz w:val="22"/>
                <w:szCs w:val="22"/>
                <w:lang w:bidi="ar"/>
              </w:rPr>
              <w:t>党务村务公开不规范不及时</w:t>
            </w:r>
            <w:r>
              <w:rPr>
                <w:rFonts w:hint="eastAsia" w:ascii="仿宋_GB2312" w:hAnsi="仿宋_GB2312" w:eastAsia="仿宋_GB2312" w:cs="仿宋_GB2312"/>
                <w:color w:val="auto"/>
                <w:kern w:val="0"/>
                <w:sz w:val="22"/>
                <w:szCs w:val="22"/>
                <w:lang w:eastAsia="zh-CN" w:bidi="ar"/>
              </w:rPr>
              <w:t>。</w:t>
            </w:r>
          </w:p>
        </w:tc>
        <w:tc>
          <w:tcPr>
            <w:tcW w:w="2196" w:type="dxa"/>
            <w:vAlign w:val="center"/>
          </w:tcPr>
          <w:p>
            <w:pPr>
              <w:widowControl/>
              <w:textAlignment w:val="center"/>
              <w:rPr>
                <w:rFonts w:ascii="仿宋_GB2312" w:hAnsi="仿宋_GB2312" w:eastAsia="仿宋_GB2312" w:cs="仿宋_GB2312"/>
                <w:b/>
                <w:bCs/>
                <w:color w:val="auto"/>
                <w:sz w:val="22"/>
                <w:szCs w:val="22"/>
              </w:rPr>
            </w:pPr>
            <w:r>
              <w:rPr>
                <w:rFonts w:hint="eastAsia" w:ascii="仿宋_GB2312" w:hAnsi="仿宋_GB2312" w:eastAsia="仿宋_GB2312" w:cs="仿宋_GB2312"/>
                <w:color w:val="auto"/>
                <w:kern w:val="0"/>
                <w:sz w:val="22"/>
                <w:szCs w:val="22"/>
                <w:lang w:bidi="ar"/>
              </w:rPr>
              <w:t>公开内容不具体不细化，不能做到应公开尽公开。</w:t>
            </w:r>
          </w:p>
        </w:tc>
        <w:tc>
          <w:tcPr>
            <w:tcW w:w="8469" w:type="dxa"/>
            <w:vAlign w:val="center"/>
          </w:tcPr>
          <w:p>
            <w:pPr>
              <w:widowControl/>
              <w:textAlignment w:val="center"/>
              <w:rPr>
                <w:rFonts w:ascii="仿宋_GB2312" w:hAnsi="仿宋_GB2312" w:eastAsia="仿宋_GB2312" w:cs="仿宋_GB2312"/>
                <w:color w:val="auto"/>
                <w:sz w:val="22"/>
                <w:szCs w:val="22"/>
              </w:rPr>
            </w:pPr>
            <w:r>
              <w:rPr>
                <w:rFonts w:hint="eastAsia" w:ascii="仿宋_GB2312" w:hAnsi="仿宋_GB2312" w:eastAsia="仿宋_GB2312" w:cs="仿宋_GB2312"/>
                <w:color w:val="auto"/>
                <w:sz w:val="22"/>
                <w:szCs w:val="22"/>
                <w:lang w:eastAsia="zh-CN"/>
              </w:rPr>
              <w:t>一是</w:t>
            </w:r>
            <w:r>
              <w:rPr>
                <w:rFonts w:hint="eastAsia" w:ascii="仿宋_GB2312" w:hAnsi="仿宋_GB2312" w:eastAsia="仿宋_GB2312" w:cs="仿宋_GB2312"/>
                <w:color w:val="auto"/>
                <w:sz w:val="22"/>
                <w:szCs w:val="22"/>
              </w:rPr>
              <w:t>已重新整理村务公开栏，</w:t>
            </w:r>
            <w:r>
              <w:rPr>
                <w:rFonts w:hint="eastAsia" w:ascii="仿宋_GB2312" w:hAnsi="仿宋_GB2312" w:eastAsia="仿宋_GB2312" w:cs="仿宋_GB2312"/>
                <w:color w:val="auto"/>
                <w:sz w:val="22"/>
                <w:szCs w:val="22"/>
                <w:lang w:eastAsia="zh-CN"/>
              </w:rPr>
              <w:t>并</w:t>
            </w:r>
            <w:r>
              <w:rPr>
                <w:rFonts w:hint="eastAsia" w:ascii="仿宋_GB2312" w:hAnsi="仿宋_GB2312" w:eastAsia="仿宋_GB2312" w:cs="仿宋_GB2312"/>
                <w:color w:val="auto"/>
                <w:sz w:val="22"/>
                <w:szCs w:val="22"/>
              </w:rPr>
              <w:t>更换</w:t>
            </w:r>
            <w:r>
              <w:rPr>
                <w:rFonts w:hint="eastAsia" w:ascii="仿宋_GB2312" w:hAnsi="仿宋_GB2312" w:eastAsia="仿宋_GB2312" w:cs="仿宋_GB2312"/>
                <w:color w:val="auto"/>
                <w:sz w:val="22"/>
                <w:szCs w:val="22"/>
                <w:lang w:eastAsia="zh-CN"/>
              </w:rPr>
              <w:t>上</w:t>
            </w:r>
            <w:r>
              <w:rPr>
                <w:rFonts w:hint="eastAsia" w:ascii="仿宋_GB2312" w:hAnsi="仿宋_GB2312" w:eastAsia="仿宋_GB2312" w:cs="仿宋_GB2312"/>
                <w:color w:val="auto"/>
                <w:sz w:val="22"/>
                <w:szCs w:val="22"/>
              </w:rPr>
              <w:t>新内容</w:t>
            </w:r>
            <w:r>
              <w:rPr>
                <w:rFonts w:hint="eastAsia" w:ascii="仿宋_GB2312" w:hAnsi="仿宋_GB2312" w:eastAsia="仿宋_GB2312" w:cs="仿宋_GB2312"/>
                <w:color w:val="auto"/>
                <w:sz w:val="22"/>
                <w:szCs w:val="22"/>
                <w:lang w:eastAsia="zh-CN"/>
              </w:rPr>
              <w:t>，如</w:t>
            </w:r>
            <w:r>
              <w:rPr>
                <w:rFonts w:hint="eastAsia" w:ascii="仿宋_GB2312" w:hAnsi="仿宋_GB2312" w:eastAsia="仿宋_GB2312" w:cs="仿宋_GB2312"/>
                <w:color w:val="auto"/>
                <w:sz w:val="22"/>
                <w:szCs w:val="22"/>
              </w:rPr>
              <w:t>财务支出及集体经济组织总账表等。</w:t>
            </w:r>
            <w:r>
              <w:rPr>
                <w:rFonts w:hint="eastAsia" w:ascii="仿宋_GB2312" w:hAnsi="仿宋_GB2312" w:eastAsia="仿宋_GB2312" w:cs="仿宋_GB2312"/>
                <w:color w:val="auto"/>
                <w:sz w:val="22"/>
                <w:szCs w:val="22"/>
                <w:lang w:eastAsia="zh-CN"/>
              </w:rPr>
              <w:t>二是</w:t>
            </w:r>
            <w:r>
              <w:rPr>
                <w:rFonts w:hint="eastAsia" w:ascii="仿宋_GB2312" w:hAnsi="仿宋_GB2312" w:eastAsia="仿宋_GB2312" w:cs="仿宋_GB2312"/>
                <w:color w:val="auto"/>
                <w:sz w:val="22"/>
                <w:szCs w:val="22"/>
              </w:rPr>
              <w:t>公开内容做到全面、详细、通俗易懂</w:t>
            </w:r>
            <w:r>
              <w:rPr>
                <w:rFonts w:hint="eastAsia" w:ascii="仿宋_GB2312" w:hAnsi="仿宋_GB2312" w:eastAsia="仿宋_GB2312" w:cs="仿宋_GB2312"/>
                <w:color w:val="auto"/>
                <w:sz w:val="22"/>
                <w:szCs w:val="22"/>
                <w:lang w:eastAsia="zh-CN"/>
              </w:rPr>
              <w:t>；已公开的“一事一议”内容包括中心街道路改造项目、创省级乡村振兴示范村项目。三是</w:t>
            </w:r>
            <w:r>
              <w:rPr>
                <w:rFonts w:hint="eastAsia" w:ascii="仿宋_GB2312" w:hAnsi="仿宋_GB2312" w:eastAsia="仿宋_GB2312" w:cs="仿宋_GB2312"/>
                <w:color w:val="auto"/>
                <w:sz w:val="22"/>
                <w:szCs w:val="22"/>
              </w:rPr>
              <w:t>党务、村务、财务公开内容如有不完善的及时进行完善。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trPr>
        <w:tc>
          <w:tcPr>
            <w:tcW w:w="1009" w:type="dxa"/>
            <w:vAlign w:val="center"/>
          </w:tcPr>
          <w:p>
            <w:pPr>
              <w:widowControl/>
              <w:jc w:val="center"/>
              <w:textAlignment w:val="center"/>
              <w:rPr>
                <w:rFonts w:ascii="仿宋_GB2312" w:hAnsi="仿宋_GB2312" w:eastAsia="仿宋_GB2312" w:cs="仿宋_GB2312"/>
                <w:color w:val="auto"/>
                <w:sz w:val="22"/>
                <w:szCs w:val="22"/>
              </w:rPr>
            </w:pPr>
            <w:r>
              <w:rPr>
                <w:rFonts w:hint="eastAsia" w:ascii="仿宋_GB2312" w:hAnsi="仿宋_GB2312" w:eastAsia="仿宋_GB2312" w:cs="仿宋_GB2312"/>
                <w:color w:val="auto"/>
                <w:kern w:val="0"/>
                <w:sz w:val="22"/>
                <w:szCs w:val="22"/>
                <w:lang w:bidi="ar"/>
              </w:rPr>
              <w:t>3</w:t>
            </w:r>
          </w:p>
        </w:tc>
        <w:tc>
          <w:tcPr>
            <w:tcW w:w="2454" w:type="dxa"/>
            <w:vMerge w:val="continue"/>
            <w:vAlign w:val="center"/>
          </w:tcPr>
          <w:p>
            <w:pPr>
              <w:rPr>
                <w:rFonts w:ascii="仿宋_GB2312" w:hAnsi="仿宋_GB2312" w:eastAsia="仿宋_GB2312" w:cs="仿宋_GB2312"/>
                <w:b/>
                <w:bCs/>
                <w:color w:val="auto"/>
                <w:sz w:val="22"/>
                <w:szCs w:val="22"/>
              </w:rPr>
            </w:pPr>
          </w:p>
        </w:tc>
        <w:tc>
          <w:tcPr>
            <w:tcW w:w="2196" w:type="dxa"/>
            <w:vAlign w:val="center"/>
          </w:tcPr>
          <w:p>
            <w:pPr>
              <w:widowControl/>
              <w:textAlignment w:val="center"/>
              <w:rPr>
                <w:rFonts w:ascii="仿宋_GB2312" w:hAnsi="仿宋_GB2312" w:eastAsia="仿宋_GB2312" w:cs="仿宋_GB2312"/>
                <w:b/>
                <w:bCs/>
                <w:color w:val="auto"/>
                <w:sz w:val="22"/>
                <w:szCs w:val="22"/>
              </w:rPr>
            </w:pPr>
            <w:r>
              <w:rPr>
                <w:rFonts w:hint="eastAsia" w:ascii="仿宋_GB2312" w:hAnsi="仿宋_GB2312" w:eastAsia="仿宋_GB2312" w:cs="仿宋_GB2312"/>
                <w:color w:val="auto"/>
                <w:kern w:val="0"/>
                <w:sz w:val="22"/>
                <w:szCs w:val="22"/>
                <w:lang w:bidi="ar"/>
              </w:rPr>
              <w:t>公开资料未存档。</w:t>
            </w:r>
          </w:p>
        </w:tc>
        <w:tc>
          <w:tcPr>
            <w:tcW w:w="8469" w:type="dxa"/>
            <w:vAlign w:val="center"/>
          </w:tcPr>
          <w:p>
            <w:pPr>
              <w:widowControl/>
              <w:textAlignment w:val="center"/>
              <w:rPr>
                <w:rFonts w:hint="eastAsia" w:ascii="仿宋_GB2312" w:hAnsi="仿宋_GB2312" w:eastAsia="仿宋_GB2312" w:cs="仿宋_GB2312"/>
                <w:color w:val="auto"/>
                <w:sz w:val="22"/>
                <w:szCs w:val="22"/>
                <w:lang w:eastAsia="zh-CN"/>
              </w:rPr>
            </w:pPr>
            <w:r>
              <w:rPr>
                <w:rFonts w:hint="eastAsia" w:ascii="仿宋_GB2312" w:hAnsi="仿宋_GB2312" w:eastAsia="仿宋_GB2312" w:cs="仿宋_GB2312"/>
                <w:color w:val="auto"/>
                <w:sz w:val="22"/>
                <w:szCs w:val="22"/>
              </w:rPr>
              <w:t>已</w:t>
            </w:r>
            <w:r>
              <w:rPr>
                <w:rFonts w:hint="eastAsia" w:ascii="仿宋_GB2312" w:hAnsi="仿宋_GB2312" w:eastAsia="仿宋_GB2312" w:cs="仿宋_GB2312"/>
                <w:color w:val="auto"/>
                <w:sz w:val="22"/>
                <w:szCs w:val="22"/>
                <w:lang w:eastAsia="zh-CN"/>
              </w:rPr>
              <w:t>规范整理今年所有已公开内容，包括</w:t>
            </w:r>
            <w:r>
              <w:rPr>
                <w:rFonts w:hint="eastAsia" w:ascii="仿宋_GB2312" w:hAnsi="仿宋_GB2312" w:eastAsia="仿宋_GB2312" w:cs="仿宋_GB2312"/>
                <w:color w:val="auto"/>
                <w:sz w:val="22"/>
                <w:szCs w:val="22"/>
                <w:lang w:val="en-US" w:eastAsia="zh-CN"/>
              </w:rPr>
              <w:t>集体土地征收、合作医疗报销情况、残疾人补贴、财务状况等内容，</w:t>
            </w:r>
            <w:r>
              <w:rPr>
                <w:rFonts w:hint="eastAsia" w:ascii="仿宋_GB2312" w:hAnsi="仿宋_GB2312" w:eastAsia="仿宋_GB2312" w:cs="仿宋_GB2312"/>
                <w:color w:val="auto"/>
                <w:sz w:val="22"/>
                <w:szCs w:val="22"/>
                <w:lang w:eastAsia="zh-CN"/>
              </w:rPr>
              <w:t>并已归档。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1" w:hRule="atLeast"/>
        </w:trPr>
        <w:tc>
          <w:tcPr>
            <w:tcW w:w="1009" w:type="dxa"/>
            <w:vAlign w:val="center"/>
          </w:tcPr>
          <w:p>
            <w:pPr>
              <w:widowControl/>
              <w:jc w:val="center"/>
              <w:textAlignment w:val="center"/>
              <w:rPr>
                <w:rFonts w:hint="eastAsia" w:ascii="仿宋_GB2312" w:hAnsi="仿宋_GB2312" w:eastAsia="仿宋_GB2312" w:cs="仿宋_GB2312"/>
                <w:color w:val="auto"/>
                <w:sz w:val="22"/>
                <w:szCs w:val="22"/>
                <w:lang w:val="en-US" w:eastAsia="zh-CN"/>
              </w:rPr>
            </w:pPr>
            <w:r>
              <w:rPr>
                <w:rFonts w:hint="eastAsia" w:ascii="仿宋_GB2312" w:hAnsi="仿宋_GB2312" w:eastAsia="仿宋_GB2312" w:cs="仿宋_GB2312"/>
                <w:color w:val="auto"/>
                <w:sz w:val="22"/>
                <w:szCs w:val="22"/>
                <w:lang w:val="en-US" w:eastAsia="zh-CN"/>
              </w:rPr>
              <w:t>4</w:t>
            </w:r>
          </w:p>
        </w:tc>
        <w:tc>
          <w:tcPr>
            <w:tcW w:w="2454" w:type="dxa"/>
            <w:vAlign w:val="center"/>
          </w:tcPr>
          <w:p>
            <w:pPr>
              <w:widowControl/>
              <w:textAlignment w:val="center"/>
              <w:rPr>
                <w:rFonts w:ascii="仿宋_GB2312" w:hAnsi="仿宋_GB2312" w:eastAsia="仿宋_GB2312" w:cs="仿宋_GB2312"/>
                <w:b/>
                <w:bCs/>
                <w:color w:val="auto"/>
                <w:sz w:val="22"/>
                <w:szCs w:val="22"/>
              </w:rPr>
            </w:pPr>
            <w:r>
              <w:rPr>
                <w:rFonts w:hint="eastAsia" w:ascii="仿宋_GB2312" w:hAnsi="仿宋_GB2312" w:eastAsia="仿宋_GB2312" w:cs="仿宋_GB2312"/>
                <w:color w:val="auto"/>
                <w:kern w:val="0"/>
                <w:sz w:val="22"/>
                <w:szCs w:val="22"/>
                <w:lang w:bidi="ar"/>
              </w:rPr>
              <w:t>民主管理程序缺失，“小微权力”清单制度运行不规范</w:t>
            </w:r>
            <w:r>
              <w:rPr>
                <w:rFonts w:hint="eastAsia" w:ascii="仿宋_GB2312" w:hAnsi="仿宋_GB2312" w:eastAsia="仿宋_GB2312" w:cs="仿宋_GB2312"/>
                <w:color w:val="auto"/>
                <w:kern w:val="0"/>
                <w:sz w:val="22"/>
                <w:szCs w:val="22"/>
                <w:lang w:eastAsia="zh-CN" w:bidi="ar"/>
              </w:rPr>
              <w:t>。</w:t>
            </w:r>
          </w:p>
        </w:tc>
        <w:tc>
          <w:tcPr>
            <w:tcW w:w="2196" w:type="dxa"/>
            <w:vAlign w:val="center"/>
          </w:tcPr>
          <w:p>
            <w:pPr>
              <w:widowControl/>
              <w:textAlignment w:val="center"/>
              <w:rPr>
                <w:rFonts w:ascii="仿宋_GB2312" w:hAnsi="仿宋_GB2312" w:eastAsia="仿宋_GB2312" w:cs="仿宋_GB2312"/>
                <w:b/>
                <w:bCs/>
                <w:color w:val="auto"/>
                <w:sz w:val="22"/>
                <w:szCs w:val="22"/>
              </w:rPr>
            </w:pPr>
            <w:r>
              <w:rPr>
                <w:rFonts w:hint="eastAsia" w:ascii="仿宋_GB2312" w:hAnsi="仿宋_GB2312" w:eastAsia="仿宋_GB2312" w:cs="仿宋_GB2312"/>
                <w:color w:val="auto"/>
                <w:kern w:val="0"/>
                <w:sz w:val="22"/>
                <w:szCs w:val="22"/>
                <w:lang w:bidi="ar"/>
              </w:rPr>
              <w:t>重大事项决策未通过“四议两公开”程序讨论决定。</w:t>
            </w:r>
          </w:p>
        </w:tc>
        <w:tc>
          <w:tcPr>
            <w:tcW w:w="8469" w:type="dxa"/>
            <w:vAlign w:val="center"/>
          </w:tcPr>
          <w:p>
            <w:pPr>
              <w:widowControl/>
              <w:textAlignment w:val="center"/>
              <w:rPr>
                <w:rFonts w:hint="eastAsia" w:ascii="仿宋_GB2312" w:hAnsi="仿宋_GB2312" w:eastAsia="仿宋_GB2312" w:cs="仿宋_GB2312"/>
                <w:color w:val="auto"/>
                <w:sz w:val="22"/>
                <w:szCs w:val="22"/>
                <w:lang w:eastAsia="zh-CN"/>
              </w:rPr>
            </w:pPr>
            <w:r>
              <w:rPr>
                <w:rFonts w:hint="eastAsia" w:ascii="仿宋_GB2312" w:hAnsi="仿宋_GB2312" w:eastAsia="仿宋_GB2312" w:cs="仿宋_GB2312"/>
                <w:color w:val="auto"/>
                <w:sz w:val="22"/>
                <w:szCs w:val="22"/>
                <w:lang w:eastAsia="zh-CN"/>
              </w:rPr>
              <w:t>一是</w:t>
            </w:r>
            <w:r>
              <w:rPr>
                <w:rFonts w:hint="eastAsia" w:ascii="仿宋_GB2312" w:hAnsi="仿宋_GB2312" w:eastAsia="仿宋_GB2312" w:cs="仿宋_GB2312"/>
                <w:color w:val="auto"/>
                <w:sz w:val="22"/>
                <w:szCs w:val="22"/>
                <w:lang w:val="en-US" w:eastAsia="zh-CN"/>
              </w:rPr>
              <w:t>7月29日，</w:t>
            </w:r>
            <w:r>
              <w:rPr>
                <w:rFonts w:hint="eastAsia" w:ascii="仿宋_GB2312" w:hAnsi="仿宋_GB2312" w:eastAsia="仿宋_GB2312" w:cs="仿宋_GB2312"/>
                <w:color w:val="auto"/>
                <w:sz w:val="22"/>
                <w:szCs w:val="22"/>
              </w:rPr>
              <w:t>在会上</w:t>
            </w:r>
            <w:r>
              <w:rPr>
                <w:rFonts w:hint="eastAsia" w:ascii="仿宋_GB2312" w:hAnsi="仿宋_GB2312" w:eastAsia="仿宋_GB2312" w:cs="仿宋_GB2312"/>
                <w:color w:val="auto"/>
                <w:sz w:val="22"/>
                <w:szCs w:val="22"/>
                <w:lang w:val="en-US" w:eastAsia="zh-CN"/>
              </w:rPr>
              <w:t>学习了“四议两公开”工作制度及流程；</w:t>
            </w:r>
            <w:r>
              <w:rPr>
                <w:rFonts w:hint="eastAsia" w:ascii="仿宋_GB2312" w:hAnsi="仿宋_GB2312" w:eastAsia="仿宋_GB2312" w:cs="仿宋_GB2312"/>
                <w:color w:val="auto"/>
                <w:sz w:val="22"/>
                <w:szCs w:val="22"/>
                <w:lang w:eastAsia="zh-CN"/>
              </w:rPr>
              <w:t>二是</w:t>
            </w:r>
            <w:r>
              <w:rPr>
                <w:rFonts w:hint="eastAsia" w:ascii="仿宋_GB2312" w:hAnsi="仿宋_GB2312" w:eastAsia="仿宋_GB2312" w:cs="仿宋_GB2312"/>
                <w:color w:val="auto"/>
                <w:sz w:val="22"/>
                <w:szCs w:val="22"/>
              </w:rPr>
              <w:t>严格按照村两委班子“四议两公开”程序执行，规范村级组织管理体制和工作机制</w:t>
            </w:r>
            <w:r>
              <w:rPr>
                <w:rFonts w:hint="eastAsia" w:ascii="仿宋_GB2312" w:hAnsi="仿宋_GB2312" w:eastAsia="仿宋_GB2312" w:cs="仿宋_GB2312"/>
                <w:color w:val="auto"/>
                <w:sz w:val="22"/>
                <w:szCs w:val="22"/>
                <w:lang w:eastAsia="zh-CN"/>
              </w:rPr>
              <w:t>；党员大会会议记录、村两委会议记录均由专人负责。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trPr>
        <w:tc>
          <w:tcPr>
            <w:tcW w:w="1009" w:type="dxa"/>
            <w:vAlign w:val="center"/>
          </w:tcPr>
          <w:p>
            <w:pPr>
              <w:widowControl/>
              <w:jc w:val="center"/>
              <w:textAlignment w:val="center"/>
              <w:rPr>
                <w:rFonts w:ascii="仿宋_GB2312" w:hAnsi="仿宋_GB2312" w:eastAsia="仿宋_GB2312" w:cs="仿宋_GB2312"/>
                <w:color w:val="auto"/>
                <w:kern w:val="2"/>
                <w:sz w:val="22"/>
                <w:szCs w:val="22"/>
                <w:lang w:val="en-US" w:eastAsia="zh-CN" w:bidi="ar-SA"/>
              </w:rPr>
            </w:pPr>
            <w:r>
              <w:rPr>
                <w:rFonts w:hint="eastAsia" w:ascii="仿宋_GB2312" w:hAnsi="仿宋_GB2312" w:eastAsia="仿宋_GB2312" w:cs="仿宋_GB2312"/>
                <w:color w:val="auto"/>
                <w:kern w:val="0"/>
                <w:sz w:val="22"/>
                <w:szCs w:val="22"/>
                <w:lang w:bidi="ar"/>
              </w:rPr>
              <w:t>5</w:t>
            </w:r>
          </w:p>
        </w:tc>
        <w:tc>
          <w:tcPr>
            <w:tcW w:w="2454" w:type="dxa"/>
            <w:vAlign w:val="center"/>
          </w:tcPr>
          <w:p>
            <w:pPr>
              <w:widowControl/>
              <w:textAlignment w:val="center"/>
              <w:rPr>
                <w:rFonts w:ascii="仿宋_GB2312" w:hAnsi="仿宋_GB2312" w:eastAsia="仿宋_GB2312" w:cs="仿宋_GB2312"/>
                <w:b/>
                <w:bCs/>
                <w:color w:val="auto"/>
                <w:sz w:val="22"/>
                <w:szCs w:val="22"/>
              </w:rPr>
            </w:pPr>
            <w:r>
              <w:rPr>
                <w:rFonts w:hint="eastAsia" w:ascii="仿宋_GB2312" w:hAnsi="仿宋_GB2312" w:eastAsia="仿宋_GB2312" w:cs="仿宋_GB2312"/>
                <w:color w:val="auto"/>
                <w:kern w:val="0"/>
                <w:sz w:val="22"/>
                <w:szCs w:val="22"/>
                <w:lang w:bidi="ar"/>
              </w:rPr>
              <w:t>农村集体”三资”管理不到位</w:t>
            </w:r>
          </w:p>
        </w:tc>
        <w:tc>
          <w:tcPr>
            <w:tcW w:w="2196" w:type="dxa"/>
            <w:vAlign w:val="center"/>
          </w:tcPr>
          <w:p>
            <w:pPr>
              <w:widowControl/>
              <w:textAlignment w:val="center"/>
              <w:rPr>
                <w:rFonts w:ascii="仿宋_GB2312" w:hAnsi="仿宋_GB2312" w:eastAsia="仿宋_GB2312" w:cs="仿宋_GB2312"/>
                <w:b/>
                <w:bCs/>
                <w:color w:val="auto"/>
                <w:sz w:val="22"/>
                <w:szCs w:val="22"/>
              </w:rPr>
            </w:pPr>
            <w:r>
              <w:rPr>
                <w:rFonts w:hint="eastAsia" w:ascii="仿宋_GB2312" w:hAnsi="仿宋_GB2312" w:eastAsia="仿宋_GB2312" w:cs="仿宋_GB2312"/>
                <w:color w:val="auto"/>
                <w:kern w:val="0"/>
                <w:sz w:val="22"/>
                <w:szCs w:val="22"/>
                <w:lang w:bidi="ar"/>
              </w:rPr>
              <w:t>合同签订不规范，存在长期合同问题。</w:t>
            </w:r>
          </w:p>
        </w:tc>
        <w:tc>
          <w:tcPr>
            <w:tcW w:w="8469" w:type="dxa"/>
            <w:vAlign w:val="center"/>
          </w:tcPr>
          <w:p>
            <w:pPr>
              <w:widowControl/>
              <w:textAlignment w:val="center"/>
              <w:rPr>
                <w:rFonts w:hint="eastAsia" w:ascii="仿宋_GB2312" w:hAnsi="仿宋_GB2312" w:eastAsia="仿宋_GB2312" w:cs="仿宋_GB2312"/>
                <w:color w:val="auto"/>
                <w:sz w:val="22"/>
                <w:szCs w:val="22"/>
                <w:lang w:eastAsia="zh-CN"/>
              </w:rPr>
            </w:pPr>
            <w:r>
              <w:rPr>
                <w:rFonts w:hint="eastAsia" w:ascii="仿宋_GB2312" w:hAnsi="仿宋_GB2312" w:eastAsia="仿宋_GB2312" w:cs="仿宋_GB2312"/>
                <w:color w:val="auto"/>
                <w:sz w:val="22"/>
                <w:szCs w:val="22"/>
                <w:lang w:eastAsia="zh-CN"/>
              </w:rPr>
              <w:t>已对合同进行规范整改。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009" w:type="dxa"/>
            <w:vAlign w:val="center"/>
          </w:tcPr>
          <w:p>
            <w:pPr>
              <w:widowControl/>
              <w:jc w:val="center"/>
              <w:textAlignment w:val="center"/>
              <w:rPr>
                <w:rFonts w:ascii="仿宋_GB2312" w:hAnsi="仿宋_GB2312" w:eastAsia="仿宋_GB2312" w:cs="仿宋_GB2312"/>
                <w:color w:val="auto"/>
                <w:kern w:val="2"/>
                <w:sz w:val="22"/>
                <w:szCs w:val="22"/>
                <w:lang w:val="en-US" w:eastAsia="zh-CN" w:bidi="ar-SA"/>
              </w:rPr>
            </w:pPr>
            <w:r>
              <w:rPr>
                <w:rFonts w:hint="eastAsia" w:ascii="仿宋_GB2312" w:hAnsi="仿宋_GB2312" w:eastAsia="仿宋_GB2312" w:cs="仿宋_GB2312"/>
                <w:color w:val="auto"/>
                <w:kern w:val="0"/>
                <w:sz w:val="22"/>
                <w:szCs w:val="22"/>
                <w:lang w:bidi="ar"/>
              </w:rPr>
              <w:t>6</w:t>
            </w:r>
          </w:p>
        </w:tc>
        <w:tc>
          <w:tcPr>
            <w:tcW w:w="2454" w:type="dxa"/>
            <w:vMerge w:val="restart"/>
            <w:vAlign w:val="center"/>
          </w:tcPr>
          <w:p>
            <w:pPr>
              <w:widowControl/>
              <w:textAlignment w:val="center"/>
              <w:rPr>
                <w:rFonts w:hint="eastAsia" w:ascii="仿宋_GB2312" w:hAnsi="仿宋_GB2312" w:eastAsia="仿宋_GB2312" w:cs="仿宋_GB2312"/>
                <w:b/>
                <w:bCs/>
                <w:color w:val="auto"/>
                <w:sz w:val="22"/>
                <w:szCs w:val="22"/>
                <w:lang w:eastAsia="zh-CN"/>
              </w:rPr>
            </w:pPr>
            <w:r>
              <w:rPr>
                <w:rFonts w:hint="eastAsia" w:ascii="仿宋_GB2312" w:hAnsi="仿宋_GB2312" w:eastAsia="仿宋_GB2312" w:cs="仿宋_GB2312"/>
                <w:color w:val="auto"/>
                <w:kern w:val="0"/>
                <w:sz w:val="22"/>
                <w:szCs w:val="22"/>
                <w:lang w:bidi="ar"/>
              </w:rPr>
              <w:t>党建工作不规范。</w:t>
            </w:r>
          </w:p>
        </w:tc>
        <w:tc>
          <w:tcPr>
            <w:tcW w:w="2196" w:type="dxa"/>
            <w:vMerge w:val="restart"/>
            <w:vAlign w:val="center"/>
          </w:tcPr>
          <w:p>
            <w:pPr>
              <w:rPr>
                <w:rFonts w:ascii="仿宋_GB2312" w:hAnsi="仿宋_GB2312" w:eastAsia="仿宋_GB2312" w:cs="仿宋_GB2312"/>
                <w:b/>
                <w:bCs/>
                <w:color w:val="auto"/>
                <w:sz w:val="22"/>
                <w:szCs w:val="22"/>
              </w:rPr>
            </w:pPr>
            <w:r>
              <w:rPr>
                <w:rFonts w:hint="eastAsia" w:ascii="仿宋_GB2312" w:hAnsi="仿宋_GB2312" w:eastAsia="仿宋_GB2312" w:cs="仿宋_GB2312"/>
                <w:color w:val="auto"/>
                <w:kern w:val="0"/>
                <w:sz w:val="22"/>
                <w:szCs w:val="22"/>
                <w:lang w:bidi="ar"/>
              </w:rPr>
              <w:t>“三会一课”等制度落实不到位。</w:t>
            </w:r>
          </w:p>
        </w:tc>
        <w:tc>
          <w:tcPr>
            <w:tcW w:w="8469" w:type="dxa"/>
            <w:vAlign w:val="center"/>
          </w:tcPr>
          <w:p>
            <w:pPr>
              <w:widowControl/>
              <w:textAlignment w:val="center"/>
              <w:rPr>
                <w:rFonts w:ascii="仿宋_GB2312" w:hAnsi="仿宋_GB2312" w:eastAsia="仿宋_GB2312" w:cs="仿宋_GB2312"/>
                <w:color w:val="auto"/>
                <w:sz w:val="22"/>
                <w:szCs w:val="22"/>
              </w:rPr>
            </w:pPr>
            <w:r>
              <w:rPr>
                <w:rFonts w:hint="eastAsia" w:ascii="仿宋_GB2312" w:hAnsi="仿宋_GB2312" w:eastAsia="仿宋_GB2312" w:cs="仿宋_GB2312"/>
                <w:color w:val="auto"/>
                <w:sz w:val="22"/>
                <w:szCs w:val="22"/>
                <w:lang w:eastAsia="zh-CN"/>
              </w:rPr>
              <w:t>已</w:t>
            </w:r>
            <w:r>
              <w:rPr>
                <w:rFonts w:hint="eastAsia" w:ascii="仿宋_GB2312" w:hAnsi="仿宋_GB2312" w:eastAsia="仿宋_GB2312" w:cs="仿宋_GB2312"/>
                <w:color w:val="auto"/>
                <w:sz w:val="22"/>
                <w:szCs w:val="22"/>
              </w:rPr>
              <w:t>安排专人负责党建工作</w:t>
            </w:r>
            <w:r>
              <w:rPr>
                <w:rFonts w:hint="eastAsia" w:ascii="仿宋_GB2312" w:hAnsi="仿宋_GB2312" w:eastAsia="仿宋_GB2312" w:cs="仿宋_GB2312"/>
                <w:color w:val="auto"/>
                <w:sz w:val="22"/>
                <w:szCs w:val="22"/>
                <w:lang w:eastAsia="zh-CN"/>
              </w:rPr>
              <w:t>；</w:t>
            </w:r>
            <w:r>
              <w:rPr>
                <w:rFonts w:hint="eastAsia" w:ascii="仿宋_GB2312" w:hAnsi="仿宋_GB2312" w:eastAsia="仿宋_GB2312" w:cs="仿宋_GB2312"/>
                <w:color w:val="auto"/>
                <w:sz w:val="22"/>
                <w:szCs w:val="22"/>
              </w:rPr>
              <w:t>党建工作</w:t>
            </w:r>
            <w:r>
              <w:rPr>
                <w:rFonts w:hint="eastAsia" w:ascii="仿宋_GB2312" w:hAnsi="仿宋_GB2312" w:eastAsia="仿宋_GB2312" w:cs="仿宋_GB2312"/>
                <w:color w:val="auto"/>
                <w:sz w:val="22"/>
                <w:szCs w:val="22"/>
                <w:lang w:eastAsia="zh-CN"/>
              </w:rPr>
              <w:t>中存在的</w:t>
            </w:r>
            <w:r>
              <w:rPr>
                <w:rFonts w:hint="eastAsia" w:ascii="仿宋_GB2312" w:hAnsi="仿宋_GB2312" w:eastAsia="仿宋_GB2312" w:cs="仿宋_GB2312"/>
                <w:color w:val="auto"/>
                <w:sz w:val="22"/>
                <w:szCs w:val="22"/>
              </w:rPr>
              <w:t>不规范内容已进行整改。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6" w:hRule="atLeast"/>
        </w:trPr>
        <w:tc>
          <w:tcPr>
            <w:tcW w:w="1009" w:type="dxa"/>
            <w:vAlign w:val="center"/>
          </w:tcPr>
          <w:p>
            <w:pPr>
              <w:widowControl/>
              <w:jc w:val="center"/>
              <w:textAlignment w:val="center"/>
              <w:rPr>
                <w:rFonts w:ascii="仿宋_GB2312" w:hAnsi="仿宋_GB2312" w:eastAsia="仿宋_GB2312" w:cs="仿宋_GB2312"/>
                <w:color w:val="auto"/>
                <w:kern w:val="2"/>
                <w:sz w:val="22"/>
                <w:szCs w:val="22"/>
                <w:lang w:val="en-US" w:eastAsia="zh-CN" w:bidi="ar-SA"/>
              </w:rPr>
            </w:pPr>
            <w:r>
              <w:rPr>
                <w:rFonts w:hint="eastAsia" w:ascii="仿宋_GB2312" w:hAnsi="仿宋_GB2312" w:eastAsia="仿宋_GB2312" w:cs="仿宋_GB2312"/>
                <w:color w:val="auto"/>
                <w:kern w:val="0"/>
                <w:sz w:val="22"/>
                <w:szCs w:val="22"/>
                <w:lang w:bidi="ar"/>
              </w:rPr>
              <w:t>7</w:t>
            </w:r>
          </w:p>
        </w:tc>
        <w:tc>
          <w:tcPr>
            <w:tcW w:w="2454" w:type="dxa"/>
            <w:vMerge w:val="continue"/>
            <w:vAlign w:val="center"/>
          </w:tcPr>
          <w:p>
            <w:pPr>
              <w:rPr>
                <w:rFonts w:ascii="仿宋_GB2312" w:hAnsi="仿宋_GB2312" w:eastAsia="仿宋_GB2312" w:cs="仿宋_GB2312"/>
                <w:b/>
                <w:bCs/>
                <w:color w:val="auto"/>
                <w:sz w:val="22"/>
                <w:szCs w:val="22"/>
              </w:rPr>
            </w:pPr>
          </w:p>
        </w:tc>
        <w:tc>
          <w:tcPr>
            <w:tcW w:w="2196" w:type="dxa"/>
            <w:vMerge w:val="continue"/>
            <w:vAlign w:val="center"/>
          </w:tcPr>
          <w:p>
            <w:pPr>
              <w:rPr>
                <w:rFonts w:ascii="仿宋_GB2312" w:hAnsi="仿宋_GB2312" w:eastAsia="仿宋_GB2312" w:cs="仿宋_GB2312"/>
                <w:b/>
                <w:bCs/>
                <w:color w:val="auto"/>
                <w:sz w:val="22"/>
                <w:szCs w:val="22"/>
              </w:rPr>
            </w:pPr>
          </w:p>
        </w:tc>
        <w:tc>
          <w:tcPr>
            <w:tcW w:w="8469" w:type="dxa"/>
            <w:vAlign w:val="center"/>
          </w:tcPr>
          <w:p>
            <w:pPr>
              <w:widowControl/>
              <w:textAlignment w:val="center"/>
              <w:rPr>
                <w:rFonts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eastAsia="zh-CN" w:bidi="ar"/>
              </w:rPr>
              <w:t>已于</w:t>
            </w:r>
            <w:r>
              <w:rPr>
                <w:rFonts w:hint="eastAsia" w:ascii="仿宋_GB2312" w:hAnsi="仿宋_GB2312" w:eastAsia="仿宋_GB2312" w:cs="仿宋_GB2312"/>
                <w:color w:val="auto"/>
                <w:kern w:val="0"/>
                <w:sz w:val="22"/>
                <w:szCs w:val="22"/>
                <w:lang w:val="en-US" w:eastAsia="zh-CN" w:bidi="ar"/>
              </w:rPr>
              <w:t>2023年</w:t>
            </w:r>
            <w:r>
              <w:rPr>
                <w:rFonts w:hint="eastAsia" w:ascii="仿宋_GB2312" w:hAnsi="仿宋_GB2312" w:eastAsia="仿宋_GB2312" w:cs="仿宋_GB2312"/>
                <w:color w:val="auto"/>
                <w:kern w:val="0"/>
                <w:sz w:val="22"/>
                <w:szCs w:val="22"/>
                <w:lang w:bidi="ar"/>
              </w:rPr>
              <w:t>6月份在支委会议上学习了党的二十大</w:t>
            </w:r>
            <w:r>
              <w:rPr>
                <w:rFonts w:hint="eastAsia" w:ascii="仿宋_GB2312" w:hAnsi="仿宋_GB2312" w:eastAsia="仿宋_GB2312" w:cs="仿宋_GB2312"/>
                <w:color w:val="auto"/>
                <w:kern w:val="0"/>
                <w:sz w:val="22"/>
                <w:szCs w:val="22"/>
                <w:lang w:eastAsia="zh-CN" w:bidi="ar"/>
              </w:rPr>
              <w:t>精神及相关内容；每月月末党员例会，村书记领学二十大精神；7月1日，全体党员举行了升旗仪式，并到红色基地参观学习，深入推进党史学习教育，树立党员家国情怀，增强党员凝聚力和向心力。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3" w:hRule="atLeast"/>
        </w:trPr>
        <w:tc>
          <w:tcPr>
            <w:tcW w:w="1009" w:type="dxa"/>
            <w:vAlign w:val="center"/>
          </w:tcPr>
          <w:p>
            <w:pPr>
              <w:widowControl/>
              <w:jc w:val="center"/>
              <w:textAlignment w:val="center"/>
              <w:rPr>
                <w:rFonts w:ascii="仿宋_GB2312" w:hAnsi="仿宋_GB2312" w:eastAsia="仿宋_GB2312" w:cs="仿宋_GB2312"/>
                <w:color w:val="auto"/>
                <w:kern w:val="2"/>
                <w:sz w:val="22"/>
                <w:szCs w:val="22"/>
                <w:lang w:val="en-US" w:eastAsia="zh-CN" w:bidi="ar-SA"/>
              </w:rPr>
            </w:pPr>
            <w:r>
              <w:rPr>
                <w:rFonts w:hint="eastAsia" w:ascii="仿宋_GB2312" w:hAnsi="仿宋_GB2312" w:eastAsia="仿宋_GB2312" w:cs="仿宋_GB2312"/>
                <w:color w:val="auto"/>
                <w:kern w:val="0"/>
                <w:sz w:val="22"/>
                <w:szCs w:val="22"/>
                <w:lang w:bidi="ar"/>
              </w:rPr>
              <w:t>8</w:t>
            </w:r>
          </w:p>
        </w:tc>
        <w:tc>
          <w:tcPr>
            <w:tcW w:w="2454" w:type="dxa"/>
            <w:vMerge w:val="continue"/>
            <w:vAlign w:val="center"/>
          </w:tcPr>
          <w:p>
            <w:pPr>
              <w:rPr>
                <w:rFonts w:ascii="仿宋_GB2312" w:hAnsi="仿宋_GB2312" w:eastAsia="仿宋_GB2312" w:cs="仿宋_GB2312"/>
                <w:b/>
                <w:bCs/>
                <w:color w:val="auto"/>
                <w:sz w:val="22"/>
                <w:szCs w:val="22"/>
              </w:rPr>
            </w:pPr>
          </w:p>
        </w:tc>
        <w:tc>
          <w:tcPr>
            <w:tcW w:w="2196" w:type="dxa"/>
            <w:vAlign w:val="center"/>
          </w:tcPr>
          <w:p>
            <w:pPr>
              <w:widowControl/>
              <w:textAlignment w:val="center"/>
              <w:rPr>
                <w:rFonts w:ascii="仿宋_GB2312" w:hAnsi="仿宋_GB2312" w:eastAsia="仿宋_GB2312" w:cs="仿宋_GB2312"/>
                <w:b/>
                <w:bCs/>
                <w:color w:val="auto"/>
                <w:sz w:val="22"/>
                <w:szCs w:val="22"/>
              </w:rPr>
            </w:pPr>
            <w:r>
              <w:rPr>
                <w:rFonts w:hint="eastAsia" w:ascii="仿宋_GB2312" w:hAnsi="仿宋_GB2312" w:eastAsia="仿宋_GB2312" w:cs="仿宋_GB2312"/>
                <w:color w:val="auto"/>
                <w:kern w:val="0"/>
                <w:sz w:val="22"/>
                <w:szCs w:val="22"/>
                <w:lang w:bidi="ar"/>
              </w:rPr>
              <w:t>组织生活会制度落实不严格。</w:t>
            </w:r>
          </w:p>
        </w:tc>
        <w:tc>
          <w:tcPr>
            <w:tcW w:w="8469" w:type="dxa"/>
            <w:vAlign w:val="center"/>
          </w:tcPr>
          <w:p>
            <w:pPr>
              <w:widowControl/>
              <w:textAlignment w:val="center"/>
              <w:rPr>
                <w:rFonts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eastAsia="zh-CN" w:bidi="ar"/>
              </w:rPr>
              <w:t>已于</w:t>
            </w:r>
            <w:r>
              <w:rPr>
                <w:rFonts w:hint="eastAsia" w:ascii="仿宋_GB2312" w:hAnsi="仿宋_GB2312" w:eastAsia="仿宋_GB2312" w:cs="仿宋_GB2312"/>
                <w:color w:val="auto"/>
                <w:kern w:val="0"/>
                <w:sz w:val="22"/>
                <w:szCs w:val="22"/>
                <w:lang w:val="en-US" w:eastAsia="zh-CN" w:bidi="ar"/>
              </w:rPr>
              <w:t>2023年6月16日</w:t>
            </w:r>
            <w:r>
              <w:rPr>
                <w:rFonts w:hint="eastAsia" w:ascii="仿宋_GB2312" w:hAnsi="仿宋_GB2312" w:eastAsia="仿宋_GB2312" w:cs="仿宋_GB2312"/>
                <w:color w:val="auto"/>
                <w:kern w:val="0"/>
                <w:sz w:val="22"/>
                <w:szCs w:val="22"/>
                <w:lang w:bidi="ar"/>
              </w:rPr>
              <w:t>召开</w:t>
            </w:r>
            <w:r>
              <w:rPr>
                <w:rFonts w:hint="eastAsia" w:ascii="仿宋_GB2312" w:hAnsi="仿宋_GB2312" w:eastAsia="仿宋_GB2312" w:cs="仿宋_GB2312"/>
                <w:color w:val="auto"/>
                <w:kern w:val="0"/>
                <w:sz w:val="22"/>
                <w:szCs w:val="22"/>
                <w:lang w:eastAsia="zh-CN" w:bidi="ar"/>
              </w:rPr>
              <w:t>区委巡察整改</w:t>
            </w:r>
            <w:r>
              <w:rPr>
                <w:rFonts w:hint="eastAsia" w:ascii="仿宋_GB2312" w:hAnsi="仿宋_GB2312" w:eastAsia="仿宋_GB2312" w:cs="仿宋_GB2312"/>
                <w:color w:val="auto"/>
                <w:kern w:val="0"/>
                <w:sz w:val="22"/>
                <w:szCs w:val="22"/>
                <w:lang w:bidi="ar"/>
              </w:rPr>
              <w:t>组织生活会，在会上</w:t>
            </w:r>
            <w:r>
              <w:rPr>
                <w:rFonts w:hint="eastAsia" w:ascii="仿宋_GB2312" w:hAnsi="仿宋_GB2312" w:eastAsia="仿宋_GB2312" w:cs="仿宋_GB2312"/>
                <w:color w:val="auto"/>
                <w:kern w:val="0"/>
                <w:sz w:val="22"/>
                <w:szCs w:val="22"/>
                <w:lang w:eastAsia="zh-CN" w:bidi="ar"/>
              </w:rPr>
              <w:t>依次</w:t>
            </w:r>
            <w:r>
              <w:rPr>
                <w:rFonts w:hint="eastAsia" w:ascii="仿宋_GB2312" w:hAnsi="仿宋_GB2312" w:eastAsia="仿宋_GB2312" w:cs="仿宋_GB2312"/>
                <w:color w:val="auto"/>
                <w:kern w:val="0"/>
                <w:sz w:val="22"/>
                <w:szCs w:val="22"/>
                <w:lang w:bidi="ar"/>
              </w:rPr>
              <w:t>严肃</w:t>
            </w:r>
            <w:r>
              <w:rPr>
                <w:rFonts w:hint="eastAsia" w:ascii="仿宋_GB2312" w:hAnsi="仿宋_GB2312" w:eastAsia="仿宋_GB2312" w:cs="仿宋_GB2312"/>
                <w:color w:val="auto"/>
                <w:kern w:val="0"/>
                <w:sz w:val="22"/>
                <w:szCs w:val="22"/>
                <w:lang w:eastAsia="zh-CN" w:bidi="ar"/>
              </w:rPr>
              <w:t>开展</w:t>
            </w:r>
            <w:r>
              <w:rPr>
                <w:rFonts w:hint="eastAsia" w:ascii="仿宋_GB2312" w:hAnsi="仿宋_GB2312" w:eastAsia="仿宋_GB2312" w:cs="仿宋_GB2312"/>
                <w:color w:val="auto"/>
                <w:kern w:val="0"/>
                <w:sz w:val="22"/>
                <w:szCs w:val="22"/>
                <w:lang w:bidi="ar"/>
              </w:rPr>
              <w:t>批评与自我批评，</w:t>
            </w:r>
            <w:r>
              <w:rPr>
                <w:rFonts w:hint="eastAsia" w:ascii="仿宋_GB2312" w:hAnsi="仿宋_GB2312" w:eastAsia="仿宋_GB2312" w:cs="仿宋_GB2312"/>
                <w:color w:val="auto"/>
                <w:kern w:val="0"/>
                <w:sz w:val="22"/>
                <w:szCs w:val="22"/>
                <w:lang w:eastAsia="zh-CN" w:bidi="ar"/>
              </w:rPr>
              <w:t>深入开展问题剖析与讨论；</w:t>
            </w:r>
            <w:r>
              <w:rPr>
                <w:rFonts w:hint="eastAsia" w:ascii="仿宋_GB2312" w:hAnsi="仿宋_GB2312" w:eastAsia="仿宋_GB2312" w:cs="仿宋_GB2312"/>
                <w:color w:val="auto"/>
                <w:kern w:val="0"/>
                <w:sz w:val="22"/>
                <w:szCs w:val="22"/>
                <w:lang w:bidi="ar"/>
              </w:rPr>
              <w:t>并</w:t>
            </w:r>
            <w:r>
              <w:rPr>
                <w:rFonts w:hint="eastAsia" w:ascii="仿宋_GB2312" w:hAnsi="仿宋_GB2312" w:eastAsia="仿宋_GB2312" w:cs="仿宋_GB2312"/>
                <w:color w:val="auto"/>
                <w:kern w:val="0"/>
                <w:sz w:val="22"/>
                <w:szCs w:val="22"/>
                <w:lang w:eastAsia="zh-CN" w:bidi="ar"/>
              </w:rPr>
              <w:t>按要求如实进行</w:t>
            </w:r>
            <w:r>
              <w:rPr>
                <w:rFonts w:hint="eastAsia" w:ascii="仿宋_GB2312" w:hAnsi="仿宋_GB2312" w:eastAsia="仿宋_GB2312" w:cs="仿宋_GB2312"/>
                <w:color w:val="auto"/>
                <w:kern w:val="0"/>
                <w:sz w:val="22"/>
                <w:szCs w:val="22"/>
                <w:lang w:bidi="ar"/>
              </w:rPr>
              <w:t>会议记录。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5" w:hRule="atLeast"/>
        </w:trPr>
        <w:tc>
          <w:tcPr>
            <w:tcW w:w="1009" w:type="dxa"/>
            <w:vAlign w:val="center"/>
          </w:tcPr>
          <w:p>
            <w:pPr>
              <w:widowControl/>
              <w:jc w:val="center"/>
              <w:textAlignment w:val="center"/>
              <w:rPr>
                <w:rFonts w:ascii="仿宋_GB2312" w:hAnsi="仿宋_GB2312" w:eastAsia="仿宋_GB2312" w:cs="仿宋_GB2312"/>
                <w:color w:val="auto"/>
                <w:kern w:val="2"/>
                <w:sz w:val="22"/>
                <w:szCs w:val="22"/>
                <w:lang w:val="en-US" w:eastAsia="zh-CN" w:bidi="ar-SA"/>
              </w:rPr>
            </w:pPr>
            <w:r>
              <w:rPr>
                <w:rFonts w:hint="eastAsia" w:ascii="仿宋_GB2312" w:hAnsi="仿宋_GB2312" w:eastAsia="仿宋_GB2312" w:cs="仿宋_GB2312"/>
                <w:color w:val="auto"/>
                <w:kern w:val="0"/>
                <w:sz w:val="22"/>
                <w:szCs w:val="22"/>
                <w:lang w:bidi="ar"/>
              </w:rPr>
              <w:t>9</w:t>
            </w:r>
          </w:p>
        </w:tc>
        <w:tc>
          <w:tcPr>
            <w:tcW w:w="2454" w:type="dxa"/>
            <w:vMerge w:val="continue"/>
            <w:vAlign w:val="center"/>
          </w:tcPr>
          <w:p>
            <w:pPr>
              <w:rPr>
                <w:rFonts w:ascii="仿宋_GB2312" w:hAnsi="仿宋_GB2312" w:eastAsia="仿宋_GB2312" w:cs="仿宋_GB2312"/>
                <w:b/>
                <w:bCs/>
                <w:color w:val="auto"/>
                <w:sz w:val="22"/>
                <w:szCs w:val="22"/>
              </w:rPr>
            </w:pPr>
          </w:p>
        </w:tc>
        <w:tc>
          <w:tcPr>
            <w:tcW w:w="2196" w:type="dxa"/>
            <w:vAlign w:val="center"/>
          </w:tcPr>
          <w:p>
            <w:pPr>
              <w:rPr>
                <w:rFonts w:ascii="仿宋_GB2312" w:hAnsi="仿宋_GB2312" w:eastAsia="仿宋_GB2312" w:cs="仿宋_GB2312"/>
                <w:b/>
                <w:bCs/>
                <w:color w:val="auto"/>
                <w:sz w:val="22"/>
                <w:szCs w:val="22"/>
              </w:rPr>
            </w:pPr>
            <w:r>
              <w:rPr>
                <w:rFonts w:hint="eastAsia" w:ascii="仿宋_GB2312" w:hAnsi="仿宋_GB2312" w:eastAsia="仿宋_GB2312" w:cs="仿宋_GB2312"/>
                <w:color w:val="auto"/>
                <w:kern w:val="0"/>
                <w:sz w:val="22"/>
                <w:szCs w:val="22"/>
                <w:lang w:bidi="ar"/>
              </w:rPr>
              <w:t>发展党员程序不规范，存在发展党员党员大会参会人数与发展党员全程记实表不一致等情况。</w:t>
            </w:r>
          </w:p>
        </w:tc>
        <w:tc>
          <w:tcPr>
            <w:tcW w:w="8469" w:type="dxa"/>
            <w:vAlign w:val="center"/>
          </w:tcPr>
          <w:p>
            <w:pPr>
              <w:widowControl/>
              <w:textAlignment w:val="center"/>
              <w:rPr>
                <w:rFonts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一是经查实，由于党务干部当时请假，未记录，现已按要求对此进行补记。</w:t>
            </w:r>
            <w:r>
              <w:rPr>
                <w:rFonts w:hint="eastAsia" w:ascii="仿宋_GB2312" w:hAnsi="仿宋_GB2312" w:eastAsia="仿宋_GB2312" w:cs="仿宋_GB2312"/>
                <w:color w:val="auto"/>
                <w:kern w:val="0"/>
                <w:sz w:val="22"/>
                <w:szCs w:val="22"/>
                <w:lang w:eastAsia="zh-CN" w:bidi="ar"/>
              </w:rPr>
              <w:t>二是</w:t>
            </w:r>
            <w:r>
              <w:rPr>
                <w:rFonts w:hint="eastAsia" w:ascii="仿宋_GB2312" w:hAnsi="仿宋_GB2312" w:eastAsia="仿宋_GB2312" w:cs="仿宋_GB2312"/>
                <w:color w:val="auto"/>
                <w:kern w:val="0"/>
                <w:sz w:val="22"/>
                <w:szCs w:val="22"/>
                <w:lang w:val="en-US" w:eastAsia="zh-CN" w:bidi="ar"/>
              </w:rPr>
              <w:t>2023年6月9日，</w:t>
            </w:r>
            <w:r>
              <w:rPr>
                <w:rFonts w:hint="eastAsia" w:ascii="仿宋_GB2312" w:hAnsi="仿宋_GB2312" w:eastAsia="仿宋_GB2312" w:cs="仿宋_GB2312"/>
                <w:color w:val="auto"/>
                <w:kern w:val="0"/>
                <w:sz w:val="22"/>
                <w:szCs w:val="22"/>
                <w:lang w:eastAsia="zh-CN" w:bidi="ar"/>
              </w:rPr>
              <w:t>对本村党务专干开展培训，学习发展党员程序及制度；已安排专人记录会议内容。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3" w:hRule="atLeast"/>
        </w:trPr>
        <w:tc>
          <w:tcPr>
            <w:tcW w:w="1009" w:type="dxa"/>
            <w:vAlign w:val="center"/>
          </w:tcPr>
          <w:p>
            <w:pPr>
              <w:widowControl/>
              <w:jc w:val="center"/>
              <w:textAlignment w:val="center"/>
              <w:rPr>
                <w:rFonts w:hint="default" w:ascii="仿宋_GB2312" w:hAnsi="仿宋_GB2312" w:eastAsia="仿宋_GB2312" w:cs="仿宋_GB2312"/>
                <w:color w:val="auto"/>
                <w:kern w:val="0"/>
                <w:sz w:val="22"/>
                <w:szCs w:val="22"/>
                <w:lang w:val="en-US" w:eastAsia="zh-CN" w:bidi="ar"/>
              </w:rPr>
            </w:pPr>
            <w:r>
              <w:rPr>
                <w:rFonts w:hint="eastAsia" w:ascii="仿宋_GB2312" w:hAnsi="仿宋_GB2312" w:eastAsia="仿宋_GB2312" w:cs="仿宋_GB2312"/>
                <w:color w:val="auto"/>
                <w:kern w:val="0"/>
                <w:sz w:val="22"/>
                <w:szCs w:val="22"/>
                <w:lang w:val="en-US" w:eastAsia="zh-CN" w:bidi="ar"/>
              </w:rPr>
              <w:t>10</w:t>
            </w:r>
          </w:p>
        </w:tc>
        <w:tc>
          <w:tcPr>
            <w:tcW w:w="2454" w:type="dxa"/>
            <w:vMerge w:val="continue"/>
            <w:vAlign w:val="center"/>
          </w:tcPr>
          <w:p>
            <w:pPr>
              <w:rPr>
                <w:rFonts w:ascii="仿宋_GB2312" w:hAnsi="仿宋_GB2312" w:eastAsia="仿宋_GB2312" w:cs="仿宋_GB2312"/>
                <w:b/>
                <w:bCs/>
                <w:color w:val="auto"/>
                <w:sz w:val="22"/>
                <w:szCs w:val="22"/>
              </w:rPr>
            </w:pPr>
          </w:p>
        </w:tc>
        <w:tc>
          <w:tcPr>
            <w:tcW w:w="2196" w:type="dxa"/>
            <w:vAlign w:val="center"/>
          </w:tcPr>
          <w:p>
            <w:pPr>
              <w:widowControl/>
              <w:textAlignment w:val="center"/>
              <w:rPr>
                <w:rFonts w:ascii="仿宋_GB2312" w:hAnsi="仿宋_GB2312" w:eastAsia="仿宋_GB2312" w:cs="仿宋_GB2312"/>
                <w:b/>
                <w:bCs/>
                <w:color w:val="auto"/>
                <w:sz w:val="22"/>
                <w:szCs w:val="22"/>
              </w:rPr>
            </w:pPr>
            <w:r>
              <w:rPr>
                <w:rFonts w:hint="eastAsia" w:ascii="仿宋_GB2312" w:hAnsi="仿宋_GB2312" w:eastAsia="仿宋_GB2312" w:cs="仿宋_GB2312"/>
                <w:color w:val="auto"/>
                <w:kern w:val="0"/>
                <w:sz w:val="22"/>
                <w:szCs w:val="22"/>
                <w:lang w:bidi="ar"/>
              </w:rPr>
              <w:t>对五星支部创建工作重视不够</w:t>
            </w:r>
          </w:p>
        </w:tc>
        <w:tc>
          <w:tcPr>
            <w:tcW w:w="8469" w:type="dxa"/>
            <w:vAlign w:val="center"/>
          </w:tcPr>
          <w:p>
            <w:pPr>
              <w:widowControl/>
              <w:textAlignment w:val="center"/>
              <w:rPr>
                <w:rFonts w:hint="eastAsia" w:ascii="仿宋_GB2312" w:hAnsi="仿宋_GB2312" w:eastAsia="仿宋_GB2312" w:cs="仿宋_GB2312"/>
                <w:color w:val="auto"/>
                <w:kern w:val="0"/>
                <w:sz w:val="22"/>
                <w:szCs w:val="22"/>
                <w:lang w:eastAsia="zh-CN" w:bidi="ar"/>
              </w:rPr>
            </w:pPr>
            <w:r>
              <w:rPr>
                <w:rFonts w:hint="eastAsia" w:ascii="仿宋_GB2312" w:hAnsi="仿宋_GB2312" w:eastAsia="仿宋_GB2312" w:cs="仿宋_GB2312"/>
                <w:color w:val="auto"/>
                <w:kern w:val="0"/>
                <w:sz w:val="22"/>
                <w:szCs w:val="22"/>
                <w:lang w:eastAsia="zh-CN" w:bidi="ar"/>
              </w:rPr>
              <w:t>一是已在</w:t>
            </w:r>
            <w:r>
              <w:rPr>
                <w:rFonts w:hint="eastAsia" w:ascii="仿宋_GB2312" w:hAnsi="仿宋_GB2312" w:eastAsia="仿宋_GB2312" w:cs="仿宋_GB2312"/>
                <w:color w:val="auto"/>
                <w:kern w:val="0"/>
                <w:sz w:val="22"/>
                <w:szCs w:val="22"/>
                <w:lang w:bidi="ar"/>
              </w:rPr>
              <w:t>两委会议</w:t>
            </w:r>
            <w:r>
              <w:rPr>
                <w:rFonts w:hint="eastAsia" w:ascii="仿宋_GB2312" w:hAnsi="仿宋_GB2312" w:eastAsia="仿宋_GB2312" w:cs="仿宋_GB2312"/>
                <w:color w:val="auto"/>
                <w:kern w:val="0"/>
                <w:sz w:val="22"/>
                <w:szCs w:val="22"/>
                <w:lang w:eastAsia="zh-CN" w:bidi="ar"/>
              </w:rPr>
              <w:t>学习五星支部创建工作内容，研究讨论</w:t>
            </w:r>
            <w:r>
              <w:rPr>
                <w:rFonts w:hint="eastAsia" w:ascii="仿宋_GB2312" w:hAnsi="仿宋_GB2312" w:eastAsia="仿宋_GB2312" w:cs="仿宋_GB2312"/>
                <w:color w:val="auto"/>
                <w:kern w:val="0"/>
                <w:sz w:val="22"/>
                <w:szCs w:val="22"/>
                <w:lang w:bidi="ar"/>
              </w:rPr>
              <w:t>五星支部创建工作</w:t>
            </w:r>
            <w:r>
              <w:rPr>
                <w:rFonts w:hint="eastAsia" w:ascii="仿宋_GB2312" w:hAnsi="仿宋_GB2312" w:eastAsia="仿宋_GB2312" w:cs="仿宋_GB2312"/>
                <w:color w:val="auto"/>
                <w:kern w:val="0"/>
                <w:sz w:val="22"/>
                <w:szCs w:val="22"/>
                <w:lang w:eastAsia="zh-CN" w:bidi="ar"/>
              </w:rPr>
              <w:t>开展方法</w:t>
            </w:r>
            <w:r>
              <w:rPr>
                <w:rFonts w:hint="eastAsia" w:ascii="仿宋_GB2312" w:hAnsi="仿宋_GB2312" w:eastAsia="仿宋_GB2312" w:cs="仿宋_GB2312"/>
                <w:color w:val="auto"/>
                <w:kern w:val="0"/>
                <w:sz w:val="22"/>
                <w:szCs w:val="22"/>
                <w:lang w:bidi="ar"/>
              </w:rPr>
              <w:t>，</w:t>
            </w:r>
            <w:r>
              <w:rPr>
                <w:rFonts w:hint="eastAsia" w:ascii="仿宋_GB2312" w:hAnsi="仿宋_GB2312" w:eastAsia="仿宋_GB2312" w:cs="仿宋_GB2312"/>
                <w:color w:val="auto"/>
                <w:kern w:val="0"/>
                <w:sz w:val="22"/>
                <w:szCs w:val="22"/>
                <w:lang w:eastAsia="zh-CN" w:bidi="ar"/>
              </w:rPr>
              <w:t>并</w:t>
            </w:r>
            <w:r>
              <w:rPr>
                <w:rFonts w:hint="eastAsia" w:ascii="仿宋_GB2312" w:hAnsi="仿宋_GB2312" w:eastAsia="仿宋_GB2312" w:cs="仿宋_GB2312"/>
                <w:color w:val="auto"/>
                <w:kern w:val="0"/>
                <w:sz w:val="22"/>
                <w:szCs w:val="22"/>
                <w:lang w:bidi="ar"/>
              </w:rPr>
              <w:t>安排专人负责五星支部创建工作。</w:t>
            </w:r>
            <w:r>
              <w:rPr>
                <w:rFonts w:hint="eastAsia" w:ascii="仿宋_GB2312" w:hAnsi="仿宋_GB2312" w:eastAsia="仿宋_GB2312" w:cs="仿宋_GB2312"/>
                <w:color w:val="auto"/>
                <w:kern w:val="0"/>
                <w:sz w:val="22"/>
                <w:szCs w:val="22"/>
                <w:lang w:eastAsia="zh-CN" w:bidi="ar"/>
              </w:rPr>
              <w:t>二是逐步</w:t>
            </w:r>
            <w:r>
              <w:rPr>
                <w:rFonts w:hint="eastAsia" w:ascii="仿宋_GB2312" w:hAnsi="仿宋_GB2312" w:eastAsia="仿宋_GB2312" w:cs="仿宋_GB2312"/>
                <w:color w:val="auto"/>
                <w:kern w:val="0"/>
                <w:sz w:val="22"/>
                <w:szCs w:val="22"/>
                <w:lang w:bidi="ar"/>
              </w:rPr>
              <w:t>完善五星支部创建材料</w:t>
            </w:r>
            <w:r>
              <w:rPr>
                <w:rFonts w:hint="eastAsia" w:ascii="仿宋_GB2312" w:hAnsi="仿宋_GB2312" w:eastAsia="仿宋_GB2312" w:cs="仿宋_GB2312"/>
                <w:color w:val="auto"/>
                <w:kern w:val="0"/>
                <w:sz w:val="22"/>
                <w:szCs w:val="22"/>
                <w:lang w:eastAsia="zh-CN" w:bidi="ar"/>
              </w:rPr>
              <w:t>，按照五星支部创建工作计划，完成</w:t>
            </w:r>
            <w:r>
              <w:rPr>
                <w:rFonts w:hint="eastAsia" w:ascii="仿宋_GB2312" w:hAnsi="仿宋_GB2312" w:eastAsia="仿宋_GB2312" w:cs="仿宋_GB2312"/>
                <w:color w:val="auto"/>
                <w:kern w:val="0"/>
                <w:sz w:val="22"/>
                <w:szCs w:val="22"/>
                <w:lang w:val="en-US" w:eastAsia="zh-CN" w:bidi="ar"/>
              </w:rPr>
              <w:t>成立党员义工巡逻队，为村民平安保驾护航；提升村容村貌，解决下雨后村内排水问题；开展“好婆婆好媳妇”评选，增强村民幸福指数等工作。</w:t>
            </w:r>
          </w:p>
        </w:tc>
      </w:tr>
    </w:tbl>
    <w:p>
      <w:pPr>
        <w:rPr>
          <w:rFonts w:hint="default"/>
          <w:color w:val="auto"/>
          <w:lang w:val="en-US" w:eastAsia="zh-CN"/>
        </w:rPr>
      </w:pPr>
    </w:p>
    <w:p>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ZlMGNjMDcyZDBjNDVmZjk4ZGE3ZTkyNDQzNGM2NTkifQ=="/>
  </w:docVars>
  <w:rsids>
    <w:rsidRoot w:val="00000000"/>
    <w:rsid w:val="761778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iPriority="99"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3"/>
    <w:unhideWhenUsed/>
    <w:qFormat/>
    <w:uiPriority w:val="1"/>
    <w:pPr>
      <w:spacing w:before="0" w:beforeLines="0"/>
      <w:ind w:left="115"/>
    </w:pPr>
    <w:rPr>
      <w:rFonts w:hint="eastAsia"/>
      <w:sz w:val="28"/>
    </w:rPr>
  </w:style>
  <w:style w:type="paragraph" w:styleId="3">
    <w:name w:val="Body Text 2"/>
    <w:basedOn w:val="1"/>
    <w:unhideWhenUsed/>
    <w:qFormat/>
    <w:uiPriority w:val="99"/>
    <w:pPr>
      <w:spacing w:after="120" w:afterLines="0" w:line="480" w:lineRule="auto"/>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2023-11-06T02:52:49Z</dcterms:created>
  <dc:creator>Administrator</dc:creator>
  <cp:lastModifiedBy>Administrator</cp:lastModifiedBy>
  <dcterms:modified xsi:type="dcterms:W3CDTF">2023-11-06T02:53:02Z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4AB20AA45A954845AB2D89061A47642A_12</vt:lpwstr>
  </property>
</Properties>
</file>